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53" w:rsidRDefault="004B7D59" w:rsidP="00512E53">
      <w:pPr>
        <w:pStyle w:val="Heading1"/>
      </w:pPr>
      <w:bookmarkStart w:id="0" w:name="_Toc413426154"/>
      <w:bookmarkStart w:id="1" w:name="_Toc416079248"/>
      <w:bookmarkStart w:id="2" w:name="_Toc436835334"/>
      <w:bookmarkStart w:id="3" w:name="_Toc439237374"/>
      <w:bookmarkStart w:id="4" w:name="_GoBack"/>
      <w:bookmarkEnd w:id="4"/>
      <w:r>
        <w:t>Section 16</w:t>
      </w:r>
      <w:r w:rsidR="00512E53">
        <w:t xml:space="preserve">: </w:t>
      </w:r>
      <w:r>
        <w:t>Form of Disclosures</w:t>
      </w:r>
      <w:bookmarkEnd w:id="0"/>
      <w:bookmarkEnd w:id="1"/>
      <w:bookmarkEnd w:id="2"/>
      <w:bookmarkEnd w:id="3"/>
      <w:r w:rsidR="00512E53">
        <w:t xml:space="preserve"> </w:t>
      </w:r>
    </w:p>
    <w:p w:rsidR="00512E53" w:rsidRDefault="00512E53" w:rsidP="00512E53">
      <w:pPr>
        <w:pStyle w:val="Heading1"/>
      </w:pPr>
      <w:bookmarkStart w:id="5" w:name="_Toc413426155"/>
      <w:bookmarkStart w:id="6" w:name="_Toc416079249"/>
      <w:bookmarkStart w:id="7" w:name="_Toc436835335"/>
      <w:bookmarkStart w:id="8" w:name="_Toc439237375"/>
      <w:r>
        <w:t>12 CFR § 1026.37(o)</w:t>
      </w:r>
      <w:bookmarkEnd w:id="5"/>
      <w:bookmarkEnd w:id="6"/>
      <w:bookmarkEnd w:id="7"/>
      <w:bookmarkEnd w:id="8"/>
    </w:p>
    <w:p w:rsidR="00512E53" w:rsidRDefault="00512E53" w:rsidP="00512E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478E" w:rsidRDefault="00EF478E" w:rsidP="00EF478E">
      <w:pPr>
        <w:pStyle w:val="Heading2"/>
      </w:pPr>
      <w:bookmarkStart w:id="9" w:name="_Toc436835336"/>
      <w:r>
        <w:t>General Language</w:t>
      </w:r>
      <w:bookmarkEnd w:id="9"/>
    </w:p>
    <w:p w:rsidR="00EF478E" w:rsidRDefault="00EF478E" w:rsidP="00EF478E">
      <w:pPr>
        <w:pStyle w:val="Heading3"/>
        <w:rPr>
          <w:rFonts w:ascii="Times New Roman" w:hAnsi="Times New Roman"/>
          <w:sz w:val="24"/>
          <w:szCs w:val="24"/>
        </w:rPr>
      </w:pPr>
      <w:r>
        <w:t>Regulation § 1026.37(o)</w:t>
      </w:r>
    </w:p>
    <w:p w:rsidR="008867F0" w:rsidRDefault="008867F0" w:rsidP="00EF478E">
      <w:pPr>
        <w:autoSpaceDE w:val="0"/>
        <w:autoSpaceDN w:val="0"/>
        <w:adjustRightInd w:val="0"/>
        <w:spacing w:after="0" w:line="240" w:lineRule="auto"/>
        <w:ind w:firstLine="0"/>
      </w:pPr>
    </w:p>
    <w:p w:rsidR="00512E53" w:rsidRPr="00D7282B" w:rsidRDefault="001F4B5E" w:rsidP="00EF478E">
      <w:pPr>
        <w:autoSpaceDE w:val="0"/>
        <w:autoSpaceDN w:val="0"/>
        <w:adjustRightInd w:val="0"/>
        <w:spacing w:after="0" w:line="240" w:lineRule="auto"/>
        <w:ind w:firstLine="0"/>
        <w:rPr>
          <w:i/>
          <w:iCs/>
        </w:rPr>
      </w:pPr>
      <w:r w:rsidRPr="00D7282B">
        <w:t xml:space="preserve">(o) </w:t>
      </w:r>
      <w:r w:rsidRPr="00D7282B">
        <w:rPr>
          <w:b/>
          <w:i/>
          <w:iCs/>
        </w:rPr>
        <w:t>Form of disclosures.</w:t>
      </w:r>
      <w:r w:rsidRPr="00D7282B">
        <w:rPr>
          <w:i/>
          <w:iCs/>
        </w:rPr>
        <w:t xml:space="preserve"> </w:t>
      </w:r>
    </w:p>
    <w:p w:rsidR="00480129" w:rsidRDefault="00480129" w:rsidP="00EF478E">
      <w:pPr>
        <w:pStyle w:val="Heading3"/>
      </w:pPr>
    </w:p>
    <w:p w:rsidR="00EF478E" w:rsidRDefault="00DB77B7" w:rsidP="00EF478E">
      <w:pPr>
        <w:pStyle w:val="Heading3"/>
      </w:pPr>
      <w:r>
        <w:t>Regulatory Commentary</w:t>
      </w:r>
    </w:p>
    <w:p w:rsidR="00480129" w:rsidRDefault="00480129" w:rsidP="0079004C">
      <w:pPr>
        <w:ind w:firstLine="0"/>
      </w:pPr>
    </w:p>
    <w:p w:rsidR="009773E5" w:rsidRPr="008867F0" w:rsidRDefault="009773E5" w:rsidP="0079004C">
      <w:pPr>
        <w:ind w:firstLine="0"/>
        <w:rPr>
          <w:i/>
        </w:rPr>
      </w:pPr>
      <w:r w:rsidRPr="008867F0">
        <w:rPr>
          <w:i/>
        </w:rPr>
        <w:t>None.</w:t>
      </w:r>
    </w:p>
    <w:p w:rsidR="00081AA6" w:rsidRDefault="001B385C" w:rsidP="0022473F">
      <w:pPr>
        <w:pStyle w:val="Heading3"/>
      </w:pPr>
      <w:r>
        <w:t xml:space="preserve"> </w:t>
      </w:r>
    </w:p>
    <w:p w:rsidR="00631103" w:rsidRDefault="00631103" w:rsidP="00631103">
      <w:pPr>
        <w:pStyle w:val="Heading3"/>
      </w:pPr>
      <w:bookmarkStart w:id="10" w:name="_Toc436835337"/>
      <w:r>
        <w:t>CFPB Guide</w:t>
      </w:r>
    </w:p>
    <w:p w:rsidR="00480129" w:rsidRDefault="00631103" w:rsidP="00631103">
      <w:pPr>
        <w:ind w:firstLine="0"/>
        <w:rPr>
          <w:b/>
          <w:bCs/>
          <w:i/>
          <w:iCs/>
          <w:kern w:val="30"/>
          <w:sz w:val="28"/>
          <w:szCs w:val="28"/>
        </w:rPr>
      </w:pPr>
      <w:r>
        <w:t>None.</w:t>
      </w:r>
      <w:r w:rsidR="00480129">
        <w:br w:type="page"/>
      </w:r>
    </w:p>
    <w:p w:rsidR="00EF478E" w:rsidRDefault="00EF478E" w:rsidP="00EF478E">
      <w:pPr>
        <w:pStyle w:val="Heading2"/>
      </w:pPr>
      <w:r>
        <w:lastRenderedPageBreak/>
        <w:t>[7</w:t>
      </w:r>
      <w:r w:rsidR="00847580">
        <w:t>4</w:t>
      </w:r>
      <w:r>
        <w:t>] General Requirements</w:t>
      </w:r>
      <w:bookmarkEnd w:id="10"/>
    </w:p>
    <w:p w:rsidR="001D312C" w:rsidRDefault="001D312C" w:rsidP="001D312C">
      <w:pPr>
        <w:pStyle w:val="Heading3"/>
      </w:pPr>
    </w:p>
    <w:p w:rsidR="001D312C" w:rsidRDefault="001D312C" w:rsidP="001D312C">
      <w:pPr>
        <w:pStyle w:val="Heading3"/>
      </w:pPr>
      <w:r>
        <w:t>Y&amp;A Completion Instruction:</w:t>
      </w:r>
    </w:p>
    <w:p w:rsidR="001D312C" w:rsidRDefault="001D312C" w:rsidP="001D312C">
      <w:pPr>
        <w:ind w:firstLine="0"/>
      </w:pPr>
      <w:r>
        <w:t>There are no completion instructions for this section. This instruction requires that all disclosures be clear and conspicuous.</w:t>
      </w:r>
    </w:p>
    <w:p w:rsidR="001D312C" w:rsidRDefault="001D312C" w:rsidP="001D312C">
      <w:pPr>
        <w:widowControl/>
        <w:suppressAutoHyphens w:val="0"/>
        <w:spacing w:after="0" w:line="240" w:lineRule="auto"/>
        <w:ind w:firstLine="0"/>
        <w:jc w:val="left"/>
        <w:rPr>
          <w:rFonts w:cs="Arial"/>
          <w:b/>
          <w:bCs/>
        </w:rPr>
      </w:pPr>
    </w:p>
    <w:p w:rsidR="00EF478E" w:rsidRDefault="00EF478E" w:rsidP="00EF478E">
      <w:pPr>
        <w:pStyle w:val="Heading3"/>
        <w:rPr>
          <w:rFonts w:ascii="Times New Roman" w:hAnsi="Times New Roman"/>
          <w:sz w:val="24"/>
          <w:szCs w:val="24"/>
        </w:rPr>
      </w:pPr>
      <w:r>
        <w:t>Regulat</w:t>
      </w:r>
      <w:r w:rsidR="00480129">
        <w:t>ory Text</w:t>
      </w:r>
      <w:r>
        <w:t xml:space="preserve"> § 1026.37(o)(1)</w:t>
      </w:r>
    </w:p>
    <w:p w:rsidR="00480129" w:rsidRDefault="00480129" w:rsidP="00EF478E">
      <w:pPr>
        <w:autoSpaceDE w:val="0"/>
        <w:autoSpaceDN w:val="0"/>
        <w:adjustRightInd w:val="0"/>
        <w:spacing w:after="0" w:line="240" w:lineRule="auto"/>
        <w:ind w:firstLine="0"/>
      </w:pPr>
    </w:p>
    <w:p w:rsidR="00512E53" w:rsidRPr="00D7282B" w:rsidRDefault="001F4B5E" w:rsidP="00EF478E">
      <w:pPr>
        <w:autoSpaceDE w:val="0"/>
        <w:autoSpaceDN w:val="0"/>
        <w:adjustRightInd w:val="0"/>
        <w:spacing w:after="0" w:line="240" w:lineRule="auto"/>
        <w:ind w:firstLine="0"/>
        <w:rPr>
          <w:i/>
          <w:iCs/>
        </w:rPr>
      </w:pPr>
      <w:r w:rsidRPr="008E20BA">
        <w:t>(</w:t>
      </w:r>
      <w:r w:rsidRPr="00D7282B">
        <w:t xml:space="preserve">1) </w:t>
      </w:r>
      <w:r w:rsidRPr="008867F0">
        <w:rPr>
          <w:b/>
          <w:iCs/>
        </w:rPr>
        <w:t>General requirements.</w:t>
      </w:r>
      <w:r w:rsidRPr="00D7282B">
        <w:rPr>
          <w:i/>
          <w:iCs/>
        </w:rPr>
        <w:t xml:space="preserve"> </w:t>
      </w:r>
    </w:p>
    <w:p w:rsidR="00512E53" w:rsidRPr="00D7282B" w:rsidRDefault="00512E53" w:rsidP="00512E53">
      <w:pPr>
        <w:autoSpaceDE w:val="0"/>
        <w:autoSpaceDN w:val="0"/>
        <w:adjustRightInd w:val="0"/>
        <w:spacing w:after="0" w:line="240" w:lineRule="auto"/>
        <w:ind w:firstLine="0"/>
        <w:rPr>
          <w:i/>
          <w:iCs/>
        </w:rPr>
      </w:pPr>
    </w:p>
    <w:p w:rsidR="00512E53" w:rsidRPr="00D7282B" w:rsidRDefault="001F4B5E" w:rsidP="00480129">
      <w:pPr>
        <w:autoSpaceDE w:val="0"/>
        <w:autoSpaceDN w:val="0"/>
        <w:adjustRightInd w:val="0"/>
        <w:spacing w:after="0" w:line="240" w:lineRule="auto"/>
        <w:ind w:left="360" w:firstLine="0"/>
      </w:pPr>
      <w:r w:rsidRPr="00D7282B">
        <w:t>(i) The creditor shall make the</w:t>
      </w:r>
      <w:r w:rsidR="00512E53" w:rsidRPr="00D7282B">
        <w:t xml:space="preserve"> </w:t>
      </w:r>
      <w:r w:rsidRPr="00D7282B">
        <w:t>disclosures required by this section clearly and conspicuously in writing, in a form that the</w:t>
      </w:r>
      <w:r w:rsidR="00512E53" w:rsidRPr="00D7282B">
        <w:t xml:space="preserve"> </w:t>
      </w:r>
      <w:r w:rsidRPr="00D7282B">
        <w:t>consumer may keep. The disclosures also shall be grouped together and segregated from</w:t>
      </w:r>
      <w:r w:rsidR="00512E53" w:rsidRPr="00D7282B">
        <w:t xml:space="preserve"> </w:t>
      </w:r>
      <w:r w:rsidRPr="00D7282B">
        <w:t>everything else.</w:t>
      </w:r>
    </w:p>
    <w:p w:rsidR="006D72D2" w:rsidRDefault="006D72D2" w:rsidP="00480129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1F4B5E" w:rsidRPr="00D7282B" w:rsidRDefault="0028119B" w:rsidP="00480129">
      <w:pPr>
        <w:autoSpaceDE w:val="0"/>
        <w:autoSpaceDN w:val="0"/>
        <w:adjustRightInd w:val="0"/>
        <w:spacing w:after="0" w:line="240" w:lineRule="auto"/>
        <w:ind w:left="360" w:firstLine="0"/>
      </w:pPr>
      <w:r w:rsidRPr="0028119B">
        <w:t xml:space="preserve"> </w:t>
      </w:r>
      <w:r w:rsidR="001F4B5E" w:rsidRPr="00D7282B">
        <w:t>(ii) Except as provided in paragraph (o)(5)</w:t>
      </w:r>
      <w:r w:rsidR="001F4B5E" w:rsidRPr="00D7282B">
        <w:rPr>
          <w:b/>
        </w:rPr>
        <w:t xml:space="preserve"> </w:t>
      </w:r>
      <w:r w:rsidR="00174D6A" w:rsidRPr="00D7282B">
        <w:rPr>
          <w:b/>
        </w:rPr>
        <w:t>[7</w:t>
      </w:r>
      <w:r w:rsidR="009010A2" w:rsidRPr="00D7282B">
        <w:rPr>
          <w:b/>
        </w:rPr>
        <w:t>8</w:t>
      </w:r>
      <w:r w:rsidR="00174D6A" w:rsidRPr="00D7282B">
        <w:rPr>
          <w:b/>
        </w:rPr>
        <w:t>]</w:t>
      </w:r>
      <w:r w:rsidR="00174D6A" w:rsidRPr="00D7282B">
        <w:t xml:space="preserve"> </w:t>
      </w:r>
      <w:r w:rsidR="001F4B5E" w:rsidRPr="00D7282B">
        <w:t>of this section, the disclosures shall contain</w:t>
      </w:r>
      <w:r w:rsidR="00512E53" w:rsidRPr="00D7282B">
        <w:t xml:space="preserve"> </w:t>
      </w:r>
      <w:r w:rsidR="001F4B5E" w:rsidRPr="00D7282B">
        <w:t xml:space="preserve">only the information required by paragraphs (a) through (n) of this section </w:t>
      </w:r>
      <w:r w:rsidR="00174D6A" w:rsidRPr="00D7282B">
        <w:rPr>
          <w:b/>
        </w:rPr>
        <w:t>[see all previous manual sections]</w:t>
      </w:r>
      <w:r w:rsidR="00174D6A" w:rsidRPr="00D7282B">
        <w:t xml:space="preserve"> </w:t>
      </w:r>
      <w:r w:rsidR="001F4B5E" w:rsidRPr="00D7282B">
        <w:t>and shall be made in</w:t>
      </w:r>
      <w:r w:rsidR="00512E53" w:rsidRPr="00D7282B">
        <w:t xml:space="preserve"> </w:t>
      </w:r>
      <w:r w:rsidR="001F4B5E" w:rsidRPr="00D7282B">
        <w:t>the same order, and positioned relative to the master headings, headings, subheadings, labels, and</w:t>
      </w:r>
      <w:r w:rsidR="00512E53" w:rsidRPr="00D7282B">
        <w:t xml:space="preserve"> </w:t>
      </w:r>
      <w:r w:rsidR="001F4B5E" w:rsidRPr="00D7282B">
        <w:t>similar designations in the same manner, as shown in form H-24, set forth in appendix H to this</w:t>
      </w:r>
      <w:r w:rsidR="00512E53" w:rsidRPr="00D7282B">
        <w:t xml:space="preserve"> </w:t>
      </w:r>
      <w:r w:rsidR="001F4B5E" w:rsidRPr="00D7282B">
        <w:t>part.</w:t>
      </w:r>
    </w:p>
    <w:p w:rsidR="0028119B" w:rsidRDefault="0028119B">
      <w:pPr>
        <w:widowControl/>
        <w:suppressAutoHyphens w:val="0"/>
        <w:spacing w:after="0" w:line="240" w:lineRule="auto"/>
        <w:ind w:firstLine="0"/>
        <w:jc w:val="left"/>
        <w:rPr>
          <w:rFonts w:cs="Arial"/>
          <w:b/>
          <w:bCs/>
        </w:rPr>
      </w:pPr>
    </w:p>
    <w:p w:rsidR="00480129" w:rsidRDefault="00480129" w:rsidP="00EF478E">
      <w:pPr>
        <w:pStyle w:val="Heading3"/>
      </w:pPr>
    </w:p>
    <w:p w:rsidR="00EF478E" w:rsidRDefault="00DB77B7" w:rsidP="00EF478E">
      <w:pPr>
        <w:pStyle w:val="Heading3"/>
      </w:pPr>
      <w:r>
        <w:t>Regulatory Commentary</w:t>
      </w:r>
    </w:p>
    <w:p w:rsidR="00F96617" w:rsidRDefault="00F96617" w:rsidP="00174D6A">
      <w:pPr>
        <w:autoSpaceDE w:val="0"/>
        <w:autoSpaceDN w:val="0"/>
        <w:adjustRightInd w:val="0"/>
        <w:spacing w:after="0" w:line="240" w:lineRule="auto"/>
        <w:ind w:firstLine="0"/>
      </w:pPr>
    </w:p>
    <w:p w:rsidR="009773E5" w:rsidRPr="008867F0" w:rsidRDefault="009773E5" w:rsidP="00174D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8867F0">
        <w:rPr>
          <w:i/>
        </w:rPr>
        <w:t xml:space="preserve">1. </w:t>
      </w:r>
      <w:r w:rsidRPr="008867F0">
        <w:rPr>
          <w:rFonts w:ascii="Times New Roman" w:hAnsi="Times New Roman"/>
          <w:b/>
          <w:i/>
          <w:iCs/>
          <w:sz w:val="24"/>
          <w:szCs w:val="24"/>
        </w:rPr>
        <w:t>Clear and conspicuous; segregation.</w:t>
      </w:r>
      <w:r w:rsidRPr="008867F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67F0">
        <w:rPr>
          <w:i/>
        </w:rPr>
        <w:t>The clear and conspicuous standard requires that</w:t>
      </w:r>
      <w:r w:rsidR="00174D6A" w:rsidRPr="008867F0">
        <w:rPr>
          <w:i/>
        </w:rPr>
        <w:t xml:space="preserve"> </w:t>
      </w:r>
      <w:r w:rsidRPr="008867F0">
        <w:rPr>
          <w:i/>
        </w:rPr>
        <w:t>the disclosures required by § 1026.37</w:t>
      </w:r>
      <w:r w:rsidRPr="008867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>[the Loan Estimate]</w:t>
      </w:r>
      <w:r w:rsidR="00174D6A" w:rsidRPr="008867F0">
        <w:rPr>
          <w:i/>
        </w:rPr>
        <w:t xml:space="preserve"> </w:t>
      </w:r>
      <w:r w:rsidRPr="008867F0">
        <w:rPr>
          <w:i/>
        </w:rPr>
        <w:t>be legible and in a readily understandable form. Section</w:t>
      </w:r>
      <w:r w:rsidR="00174D6A" w:rsidRPr="008867F0">
        <w:rPr>
          <w:i/>
        </w:rPr>
        <w:t xml:space="preserve"> </w:t>
      </w:r>
      <w:r w:rsidRPr="008867F0">
        <w:rPr>
          <w:i/>
        </w:rPr>
        <w:t xml:space="preserve">1026.37(o)(1)(i) 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>[7</w:t>
      </w:r>
      <w:r w:rsidR="007C7A6B" w:rsidRPr="008867F0">
        <w:rPr>
          <w:rFonts w:ascii="Times New Roman" w:hAnsi="Times New Roman"/>
          <w:b/>
          <w:i/>
          <w:sz w:val="24"/>
          <w:szCs w:val="24"/>
        </w:rPr>
        <w:t>4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>]</w:t>
      </w:r>
      <w:r w:rsidR="00174D6A" w:rsidRPr="008867F0">
        <w:rPr>
          <w:i/>
        </w:rPr>
        <w:t xml:space="preserve"> </w:t>
      </w:r>
      <w:r w:rsidRPr="008867F0">
        <w:rPr>
          <w:i/>
        </w:rPr>
        <w:t>requires that the disclosures be grouped together and segregated from</w:t>
      </w:r>
      <w:r w:rsidR="00174D6A" w:rsidRPr="008867F0">
        <w:rPr>
          <w:i/>
        </w:rPr>
        <w:t xml:space="preserve"> </w:t>
      </w:r>
      <w:r w:rsidRPr="008867F0">
        <w:rPr>
          <w:i/>
        </w:rPr>
        <w:t>everything else. For example, creditors may not add additional pages in between the pages of the</w:t>
      </w:r>
      <w:r w:rsidR="00174D6A" w:rsidRPr="008867F0">
        <w:rPr>
          <w:i/>
        </w:rPr>
        <w:t xml:space="preserve"> </w:t>
      </w:r>
      <w:r w:rsidRPr="008867F0">
        <w:rPr>
          <w:i/>
        </w:rPr>
        <w:t>Loan Estimate, or attach to the Loan Estimate additional pages that are not provided for under</w:t>
      </w:r>
      <w:r w:rsidR="00174D6A" w:rsidRPr="008867F0">
        <w:rPr>
          <w:i/>
        </w:rPr>
        <w:t xml:space="preserve"> </w:t>
      </w:r>
      <w:r w:rsidRPr="008867F0">
        <w:rPr>
          <w:i/>
        </w:rPr>
        <w:t xml:space="preserve">§ 1026.37 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>[the Loan Estimate]</w:t>
      </w:r>
      <w:r w:rsidR="00174D6A" w:rsidRPr="008867F0">
        <w:rPr>
          <w:i/>
        </w:rPr>
        <w:t xml:space="preserve"> a</w:t>
      </w:r>
      <w:r w:rsidRPr="008867F0">
        <w:rPr>
          <w:i/>
        </w:rPr>
        <w:t>fter the last page of the Loan Estimate. As required by § 1026.37(o)(3)(i)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 xml:space="preserve"> [7</w:t>
      </w:r>
      <w:r w:rsidR="007C7A6B" w:rsidRPr="008867F0">
        <w:rPr>
          <w:rFonts w:ascii="Times New Roman" w:hAnsi="Times New Roman"/>
          <w:b/>
          <w:i/>
          <w:sz w:val="24"/>
          <w:szCs w:val="24"/>
        </w:rPr>
        <w:t>6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>]</w:t>
      </w:r>
      <w:r w:rsidRPr="008867F0">
        <w:rPr>
          <w:rFonts w:ascii="Times New Roman" w:hAnsi="Times New Roman"/>
          <w:b/>
          <w:i/>
          <w:sz w:val="24"/>
          <w:szCs w:val="24"/>
        </w:rPr>
        <w:t>,</w:t>
      </w:r>
      <w:r w:rsidRPr="008867F0">
        <w:rPr>
          <w:i/>
        </w:rPr>
        <w:t xml:space="preserve"> the</w:t>
      </w:r>
      <w:r w:rsidR="00174D6A" w:rsidRPr="008867F0">
        <w:rPr>
          <w:i/>
        </w:rPr>
        <w:t xml:space="preserve"> </w:t>
      </w:r>
      <w:r w:rsidRPr="008867F0">
        <w:rPr>
          <w:i/>
        </w:rPr>
        <w:t>disclosures for any transaction that is a federally related mortgage loan under Regulation X, 12</w:t>
      </w:r>
      <w:r w:rsidR="00174D6A" w:rsidRPr="008867F0">
        <w:rPr>
          <w:i/>
        </w:rPr>
        <w:t xml:space="preserve"> </w:t>
      </w:r>
      <w:r w:rsidRPr="008867F0">
        <w:rPr>
          <w:i/>
        </w:rPr>
        <w:t>CFR 1024.2, must be made using the standard form H-24 of appendix H to this part.</w:t>
      </w:r>
      <w:r w:rsidR="00174D6A" w:rsidRPr="008867F0">
        <w:rPr>
          <w:i/>
        </w:rPr>
        <w:t xml:space="preserve"> </w:t>
      </w:r>
      <w:r w:rsidRPr="008867F0">
        <w:rPr>
          <w:i/>
        </w:rPr>
        <w:t>Accordingly, use of that form constitutes compliance with the clear and conspicuous and</w:t>
      </w:r>
      <w:r w:rsidR="00174D6A" w:rsidRPr="008867F0">
        <w:rPr>
          <w:i/>
        </w:rPr>
        <w:t xml:space="preserve"> </w:t>
      </w:r>
      <w:r w:rsidRPr="008867F0">
        <w:rPr>
          <w:i/>
        </w:rPr>
        <w:t>segregation requirements of § 1026.37(o)</w:t>
      </w:r>
      <w:r w:rsidR="00174D6A" w:rsidRPr="008867F0">
        <w:rPr>
          <w:i/>
        </w:rPr>
        <w:t xml:space="preserve"> 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>[this manual section]</w:t>
      </w:r>
      <w:r w:rsidRPr="008867F0">
        <w:rPr>
          <w:rFonts w:ascii="Times New Roman" w:hAnsi="Times New Roman"/>
          <w:b/>
          <w:i/>
          <w:sz w:val="24"/>
          <w:szCs w:val="24"/>
        </w:rPr>
        <w:t>.</w:t>
      </w:r>
      <w:r w:rsidRPr="008867F0">
        <w:rPr>
          <w:i/>
        </w:rPr>
        <w:t xml:space="preserve"> In addition, § 1026.37(o)(1)(ii)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 xml:space="preserve"> [</w:t>
      </w:r>
      <w:r w:rsidR="007C7A6B" w:rsidRPr="008867F0">
        <w:rPr>
          <w:rFonts w:ascii="Times New Roman" w:hAnsi="Times New Roman"/>
          <w:b/>
          <w:i/>
          <w:sz w:val="24"/>
          <w:szCs w:val="24"/>
        </w:rPr>
        <w:t>74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>]</w:t>
      </w:r>
      <w:r w:rsidRPr="008867F0">
        <w:rPr>
          <w:i/>
        </w:rPr>
        <w:t xml:space="preserve"> requires creditors to</w:t>
      </w:r>
      <w:r w:rsidR="00174D6A" w:rsidRPr="008867F0">
        <w:rPr>
          <w:i/>
        </w:rPr>
        <w:t xml:space="preserve"> </w:t>
      </w:r>
      <w:r w:rsidRPr="008867F0">
        <w:rPr>
          <w:i/>
        </w:rPr>
        <w:t>disclose on the Loan Estimate only the information required by § 1026.37(a) through (n)</w:t>
      </w:r>
      <w:r w:rsidR="00174D6A" w:rsidRPr="008867F0">
        <w:rPr>
          <w:i/>
        </w:rPr>
        <w:t xml:space="preserve"> 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>[see all previous manual sections]</w:t>
      </w:r>
      <w:r w:rsidRPr="008867F0">
        <w:rPr>
          <w:rFonts w:ascii="Times New Roman" w:hAnsi="Times New Roman"/>
          <w:b/>
          <w:i/>
          <w:sz w:val="24"/>
          <w:szCs w:val="24"/>
        </w:rPr>
        <w:t>,</w:t>
      </w:r>
      <w:r w:rsidRPr="008867F0">
        <w:rPr>
          <w:i/>
        </w:rPr>
        <w:t xml:space="preserve"> except</w:t>
      </w:r>
      <w:r w:rsidR="00174D6A" w:rsidRPr="008867F0">
        <w:rPr>
          <w:i/>
        </w:rPr>
        <w:t xml:space="preserve"> </w:t>
      </w:r>
      <w:r w:rsidRPr="008867F0">
        <w:rPr>
          <w:i/>
        </w:rPr>
        <w:t>as otherwise provided by § 1026.37(o)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 xml:space="preserve"> [this manual section]</w:t>
      </w:r>
      <w:r w:rsidRPr="008867F0">
        <w:rPr>
          <w:rFonts w:ascii="Times New Roman" w:hAnsi="Times New Roman"/>
          <w:b/>
          <w:i/>
          <w:sz w:val="24"/>
          <w:szCs w:val="24"/>
        </w:rPr>
        <w:t>,</w:t>
      </w:r>
      <w:r w:rsidRPr="008867F0">
        <w:rPr>
          <w:i/>
        </w:rPr>
        <w:t xml:space="preserve"> and in the same order, and positioned relative to the</w:t>
      </w:r>
      <w:r w:rsidR="00174D6A" w:rsidRPr="008867F0">
        <w:rPr>
          <w:i/>
        </w:rPr>
        <w:t xml:space="preserve"> </w:t>
      </w:r>
      <w:r w:rsidRPr="008867F0">
        <w:rPr>
          <w:i/>
        </w:rPr>
        <w:t>master headings, headings, subheadings, labels, and similar designations in the same manner, as</w:t>
      </w:r>
      <w:r w:rsidR="00174D6A" w:rsidRPr="008867F0">
        <w:rPr>
          <w:i/>
        </w:rPr>
        <w:t xml:space="preserve"> </w:t>
      </w:r>
      <w:r w:rsidRPr="008867F0">
        <w:rPr>
          <w:i/>
        </w:rPr>
        <w:t>shown in form H-24, set forth in appendix H to this part. For example, creditors may not use</w:t>
      </w:r>
      <w:r w:rsidR="00174D6A" w:rsidRPr="008867F0">
        <w:rPr>
          <w:i/>
        </w:rPr>
        <w:t xml:space="preserve"> </w:t>
      </w:r>
      <w:r w:rsidRPr="008867F0">
        <w:rPr>
          <w:i/>
        </w:rPr>
        <w:t xml:space="preserve">form H-24, but include in the Loan Terms table under the subheading </w:t>
      </w:r>
      <w:r w:rsidRPr="008867F0">
        <w:rPr>
          <w:rFonts w:ascii="Times New Roman" w:hAnsi="Times New Roman"/>
          <w:b/>
          <w:i/>
          <w:sz w:val="24"/>
          <w:szCs w:val="24"/>
        </w:rPr>
        <w:t>“Can this amount increase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7F0">
        <w:rPr>
          <w:rFonts w:ascii="Times New Roman" w:hAnsi="Times New Roman"/>
          <w:b/>
          <w:i/>
          <w:sz w:val="24"/>
          <w:szCs w:val="24"/>
        </w:rPr>
        <w:t>after closing?”</w:t>
      </w:r>
      <w:r w:rsidRPr="008867F0">
        <w:rPr>
          <w:i/>
        </w:rPr>
        <w:t xml:space="preserve"> information that is not required by § 1026.37(b)(6)</w:t>
      </w:r>
      <w:r w:rsidR="00174D6A" w:rsidRPr="008867F0">
        <w:rPr>
          <w:i/>
        </w:rPr>
        <w:t xml:space="preserve"> </w:t>
      </w:r>
      <w:r w:rsidR="00174D6A" w:rsidRPr="008867F0">
        <w:rPr>
          <w:rFonts w:ascii="Times New Roman" w:hAnsi="Times New Roman"/>
          <w:b/>
          <w:i/>
          <w:sz w:val="24"/>
          <w:szCs w:val="24"/>
        </w:rPr>
        <w:t>[19]</w:t>
      </w:r>
      <w:r w:rsidRPr="008867F0">
        <w:rPr>
          <w:rFonts w:ascii="Times New Roman" w:hAnsi="Times New Roman"/>
          <w:b/>
          <w:i/>
          <w:sz w:val="24"/>
          <w:szCs w:val="24"/>
        </w:rPr>
        <w:t>.</w:t>
      </w:r>
    </w:p>
    <w:p w:rsidR="00174D6A" w:rsidRDefault="00174D6A" w:rsidP="00174D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773E5" w:rsidRPr="00B05586" w:rsidRDefault="009773E5" w:rsidP="00174D6A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lastRenderedPageBreak/>
        <w:t xml:space="preserve">2. </w:t>
      </w:r>
      <w:r w:rsidRPr="00B05586">
        <w:rPr>
          <w:rFonts w:ascii="Times New Roman" w:hAnsi="Times New Roman"/>
          <w:b/>
          <w:i/>
          <w:iCs/>
          <w:sz w:val="24"/>
          <w:szCs w:val="24"/>
        </w:rPr>
        <w:t>Balloon payment financing with leasing characteristics.</w:t>
      </w:r>
      <w:r w:rsidRPr="00B055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5586">
        <w:rPr>
          <w:i/>
        </w:rPr>
        <w:t>In certain credit sale or loan</w:t>
      </w:r>
      <w:r w:rsidR="00174D6A" w:rsidRPr="00B05586">
        <w:rPr>
          <w:i/>
        </w:rPr>
        <w:t xml:space="preserve"> </w:t>
      </w:r>
      <w:r w:rsidRPr="00B05586">
        <w:rPr>
          <w:i/>
        </w:rPr>
        <w:lastRenderedPageBreak/>
        <w:t>transactions, a consumer may reduce the dollar amount of the payments to be made during the</w:t>
      </w:r>
      <w:r w:rsidR="00174D6A" w:rsidRPr="00B05586">
        <w:rPr>
          <w:i/>
        </w:rPr>
        <w:t xml:space="preserve"> </w:t>
      </w:r>
      <w:r w:rsidRPr="00B05586">
        <w:rPr>
          <w:i/>
        </w:rPr>
        <w:t>transaction by agreeing to make, at the end of the loan term, a large final payment based on the</w:t>
      </w:r>
      <w:r w:rsidR="00174D6A" w:rsidRPr="00B05586">
        <w:rPr>
          <w:i/>
        </w:rPr>
        <w:t xml:space="preserve"> </w:t>
      </w:r>
      <w:r w:rsidRPr="00B05586">
        <w:rPr>
          <w:i/>
        </w:rPr>
        <w:t>expected residual value of the property. The consumer may have a number of options with</w:t>
      </w:r>
      <w:r w:rsidR="00174D6A" w:rsidRPr="00B05586">
        <w:rPr>
          <w:i/>
        </w:rPr>
        <w:t xml:space="preserve"> </w:t>
      </w:r>
      <w:r w:rsidRPr="00B05586">
        <w:rPr>
          <w:i/>
        </w:rPr>
        <w:t>respect to the final payment, including, among other things, retaining the property and making</w:t>
      </w:r>
      <w:r w:rsidR="00174D6A" w:rsidRPr="00B05586">
        <w:rPr>
          <w:i/>
        </w:rPr>
        <w:t xml:space="preserve"> </w:t>
      </w:r>
      <w:r w:rsidRPr="00B05586">
        <w:rPr>
          <w:i/>
        </w:rPr>
        <w:t>the final payment, refinancing the final payment, or transferring the property to the creditor in</w:t>
      </w:r>
      <w:r w:rsidR="00174D6A" w:rsidRPr="00B05586">
        <w:rPr>
          <w:i/>
        </w:rPr>
        <w:t xml:space="preserve"> </w:t>
      </w:r>
      <w:r w:rsidRPr="00B05586">
        <w:rPr>
          <w:i/>
        </w:rPr>
        <w:t>lieu of the final payment. Such transactions may have some of the characteristics of lease</w:t>
      </w:r>
      <w:r w:rsidR="00174D6A" w:rsidRPr="00B05586">
        <w:rPr>
          <w:i/>
        </w:rPr>
        <w:t xml:space="preserve"> </w:t>
      </w:r>
      <w:r w:rsidRPr="00B05586">
        <w:rPr>
          <w:i/>
        </w:rPr>
        <w:t>transactions subject to Regulation M (12 CFR part 1013), but are considered credit transactions</w:t>
      </w:r>
      <w:r w:rsidR="00174D6A" w:rsidRPr="00B05586">
        <w:rPr>
          <w:i/>
        </w:rPr>
        <w:t xml:space="preserve"> </w:t>
      </w:r>
      <w:r w:rsidRPr="00B05586">
        <w:rPr>
          <w:i/>
        </w:rPr>
        <w:t>where the consumer assumes the indicia of ownership, including the risks, burdens, and benefits</w:t>
      </w:r>
      <w:r w:rsidR="00174D6A" w:rsidRPr="00B05586">
        <w:rPr>
          <w:i/>
        </w:rPr>
        <w:t xml:space="preserve"> </w:t>
      </w:r>
      <w:r w:rsidRPr="00B05586">
        <w:rPr>
          <w:i/>
        </w:rPr>
        <w:t>of ownership, upon consummation. These transactions are governed by the disclosure</w:t>
      </w:r>
      <w:r w:rsidR="00174D6A" w:rsidRPr="00B05586">
        <w:rPr>
          <w:i/>
        </w:rPr>
        <w:t xml:space="preserve"> </w:t>
      </w:r>
      <w:r w:rsidRPr="00B05586">
        <w:rPr>
          <w:i/>
        </w:rPr>
        <w:t>requirements of this part instead of Regulation M. Under § 1026.37(o)(1)(ii)</w:t>
      </w:r>
      <w:r w:rsidR="00174D6A" w:rsidRPr="00B05586">
        <w:rPr>
          <w:i/>
        </w:rPr>
        <w:t xml:space="preserve"> </w:t>
      </w:r>
      <w:r w:rsidR="00174D6A" w:rsidRPr="00B05586">
        <w:rPr>
          <w:rFonts w:ascii="Times New Roman" w:hAnsi="Times New Roman"/>
          <w:b/>
          <w:i/>
          <w:sz w:val="24"/>
          <w:szCs w:val="24"/>
        </w:rPr>
        <w:t>[</w:t>
      </w:r>
      <w:r w:rsidR="007C7A6B" w:rsidRPr="00B05586">
        <w:rPr>
          <w:rFonts w:ascii="Times New Roman" w:hAnsi="Times New Roman"/>
          <w:b/>
          <w:i/>
          <w:sz w:val="24"/>
          <w:szCs w:val="24"/>
        </w:rPr>
        <w:t>74</w:t>
      </w:r>
      <w:r w:rsidR="00174D6A" w:rsidRPr="00B05586">
        <w:rPr>
          <w:rFonts w:ascii="Times New Roman" w:hAnsi="Times New Roman"/>
          <w:b/>
          <w:i/>
          <w:sz w:val="24"/>
          <w:szCs w:val="24"/>
        </w:rPr>
        <w:t>]</w:t>
      </w:r>
      <w:r w:rsidRPr="00B05586">
        <w:rPr>
          <w:rFonts w:ascii="Times New Roman" w:hAnsi="Times New Roman"/>
          <w:b/>
          <w:i/>
          <w:sz w:val="24"/>
          <w:szCs w:val="24"/>
        </w:rPr>
        <w:t>,</w:t>
      </w:r>
      <w:r w:rsidRPr="00B05586">
        <w:rPr>
          <w:i/>
        </w:rPr>
        <w:t xml:space="preserve"> creditors may not</w:t>
      </w:r>
      <w:r w:rsidR="00174D6A" w:rsidRPr="00B05586">
        <w:rPr>
          <w:i/>
        </w:rPr>
        <w:t xml:space="preserve">  </w:t>
      </w:r>
      <w:r w:rsidRPr="00B05586">
        <w:rPr>
          <w:i/>
        </w:rPr>
        <w:t>include any additional information with the disclosures required by § 1026.37</w:t>
      </w:r>
      <w:r w:rsidR="00174D6A" w:rsidRPr="00B05586">
        <w:rPr>
          <w:i/>
        </w:rPr>
        <w:t xml:space="preserve"> </w:t>
      </w:r>
      <w:r w:rsidR="00174D6A" w:rsidRPr="00B05586">
        <w:rPr>
          <w:rFonts w:ascii="Times New Roman" w:hAnsi="Times New Roman"/>
          <w:b/>
          <w:i/>
          <w:sz w:val="24"/>
          <w:szCs w:val="24"/>
        </w:rPr>
        <w:t>[the Loan Estimate]</w:t>
      </w:r>
      <w:r w:rsidRPr="00B05586">
        <w:rPr>
          <w:rFonts w:ascii="Times New Roman" w:hAnsi="Times New Roman"/>
          <w:b/>
          <w:i/>
          <w:sz w:val="24"/>
          <w:szCs w:val="24"/>
        </w:rPr>
        <w:t>,</w:t>
      </w:r>
      <w:r w:rsidRPr="00B05586">
        <w:rPr>
          <w:i/>
        </w:rPr>
        <w:t xml:space="preserve"> except as</w:t>
      </w:r>
      <w:r w:rsidR="00174D6A" w:rsidRPr="00B05586">
        <w:rPr>
          <w:i/>
        </w:rPr>
        <w:t xml:space="preserve"> </w:t>
      </w:r>
      <w:r w:rsidRPr="00B05586">
        <w:rPr>
          <w:i/>
        </w:rPr>
        <w:t>provided in § 1026.37(o)(5)</w:t>
      </w:r>
      <w:r w:rsidR="00174D6A" w:rsidRPr="00B05586">
        <w:rPr>
          <w:i/>
        </w:rPr>
        <w:t xml:space="preserve"> </w:t>
      </w:r>
      <w:r w:rsidR="00174D6A" w:rsidRPr="00B05586">
        <w:rPr>
          <w:rFonts w:ascii="Times New Roman" w:hAnsi="Times New Roman"/>
          <w:b/>
          <w:i/>
          <w:sz w:val="24"/>
          <w:szCs w:val="24"/>
        </w:rPr>
        <w:t>[</w:t>
      </w:r>
      <w:r w:rsidR="007C7A6B" w:rsidRPr="00B05586">
        <w:rPr>
          <w:rFonts w:ascii="Times New Roman" w:hAnsi="Times New Roman"/>
          <w:b/>
          <w:i/>
          <w:sz w:val="24"/>
          <w:szCs w:val="24"/>
        </w:rPr>
        <w:t>78</w:t>
      </w:r>
      <w:r w:rsidR="00174D6A" w:rsidRPr="00B05586">
        <w:rPr>
          <w:rFonts w:ascii="Times New Roman" w:hAnsi="Times New Roman"/>
          <w:b/>
          <w:i/>
          <w:sz w:val="24"/>
          <w:szCs w:val="24"/>
        </w:rPr>
        <w:t>]</w:t>
      </w:r>
      <w:r w:rsidRPr="00B05586">
        <w:rPr>
          <w:rFonts w:ascii="Times New Roman" w:hAnsi="Times New Roman"/>
          <w:b/>
          <w:i/>
          <w:sz w:val="24"/>
          <w:szCs w:val="24"/>
        </w:rPr>
        <w:t>.</w:t>
      </w:r>
      <w:r w:rsidRPr="00B05586">
        <w:rPr>
          <w:i/>
        </w:rPr>
        <w:t xml:space="preserve"> Thus, the disclosures must show the large final payment as a</w:t>
      </w:r>
      <w:r w:rsidR="00174D6A" w:rsidRPr="00B05586">
        <w:rPr>
          <w:i/>
        </w:rPr>
        <w:t xml:space="preserve"> </w:t>
      </w:r>
      <w:r w:rsidRPr="00B05586">
        <w:rPr>
          <w:i/>
        </w:rPr>
        <w:t xml:space="preserve">balloon payment in the projected payments table required by § 1026.37(c) </w:t>
      </w:r>
      <w:r w:rsidR="00174D6A" w:rsidRPr="00B05586">
        <w:rPr>
          <w:rFonts w:ascii="Times New Roman" w:hAnsi="Times New Roman"/>
          <w:b/>
          <w:i/>
          <w:sz w:val="24"/>
          <w:szCs w:val="24"/>
        </w:rPr>
        <w:t>[see manual Section 4]</w:t>
      </w:r>
      <w:r w:rsidR="00174D6A" w:rsidRPr="00B05586">
        <w:rPr>
          <w:i/>
        </w:rPr>
        <w:t xml:space="preserve"> </w:t>
      </w:r>
      <w:r w:rsidRPr="00B05586">
        <w:rPr>
          <w:i/>
        </w:rPr>
        <w:t>and should not, for</w:t>
      </w:r>
      <w:r w:rsidR="00174D6A" w:rsidRPr="00B05586">
        <w:rPr>
          <w:i/>
        </w:rPr>
        <w:t xml:space="preserve"> </w:t>
      </w:r>
      <w:r w:rsidRPr="00B05586">
        <w:rPr>
          <w:i/>
        </w:rPr>
        <w:t>example, reflect the other options available to the consumer at maturity.</w:t>
      </w:r>
    </w:p>
    <w:p w:rsidR="009773E5" w:rsidRPr="009773E5" w:rsidRDefault="009773E5" w:rsidP="009773E5"/>
    <w:p w:rsidR="00631103" w:rsidRDefault="00631103" w:rsidP="00631103">
      <w:pPr>
        <w:pStyle w:val="Heading3"/>
      </w:pPr>
      <w:bookmarkStart w:id="11" w:name="_Toc436835338"/>
      <w:r>
        <w:t>CFPB Guide</w:t>
      </w:r>
    </w:p>
    <w:p w:rsidR="00480129" w:rsidRDefault="00631103" w:rsidP="00631103">
      <w:pPr>
        <w:widowControl/>
        <w:suppressAutoHyphens w:val="0"/>
        <w:spacing w:after="0" w:line="240" w:lineRule="auto"/>
        <w:ind w:firstLine="0"/>
        <w:jc w:val="left"/>
        <w:rPr>
          <w:rFonts w:cs="Arial"/>
          <w:b/>
          <w:bCs/>
          <w:i/>
          <w:iCs/>
          <w:kern w:val="30"/>
          <w:sz w:val="28"/>
          <w:szCs w:val="28"/>
        </w:rPr>
      </w:pPr>
      <w:r>
        <w:t>None.</w:t>
      </w:r>
      <w:r w:rsidR="00480129">
        <w:br w:type="page"/>
      </w:r>
    </w:p>
    <w:p w:rsidR="00EF478E" w:rsidRDefault="00EF478E" w:rsidP="00EF478E">
      <w:pPr>
        <w:pStyle w:val="Heading2"/>
      </w:pPr>
      <w:r>
        <w:lastRenderedPageBreak/>
        <w:t>[7</w:t>
      </w:r>
      <w:r w:rsidR="00847580">
        <w:t>5</w:t>
      </w:r>
      <w:r>
        <w:t>] Headings and Labels</w:t>
      </w:r>
      <w:bookmarkEnd w:id="11"/>
    </w:p>
    <w:p w:rsidR="00480129" w:rsidRDefault="00480129" w:rsidP="00EF478E">
      <w:pPr>
        <w:pStyle w:val="Heading3"/>
      </w:pPr>
    </w:p>
    <w:p w:rsidR="001D312C" w:rsidRDefault="001D312C" w:rsidP="001D312C">
      <w:pPr>
        <w:pStyle w:val="Heading3"/>
      </w:pPr>
      <w:r>
        <w:t>Y&amp;A Completion Instruction:</w:t>
      </w:r>
    </w:p>
    <w:p w:rsidR="001D312C" w:rsidRDefault="001D312C" w:rsidP="001D312C">
      <w:pPr>
        <w:ind w:firstLine="0"/>
      </w:pPr>
      <w:r>
        <w:t>There are no completion instructions for this section. This instruction requires that all requirements for bold print and capitalization be followed.</w:t>
      </w:r>
    </w:p>
    <w:p w:rsidR="001D312C" w:rsidRDefault="001D312C" w:rsidP="001D312C">
      <w:pPr>
        <w:widowControl/>
        <w:suppressAutoHyphens w:val="0"/>
        <w:spacing w:after="0" w:line="240" w:lineRule="auto"/>
        <w:ind w:firstLine="0"/>
        <w:jc w:val="left"/>
        <w:rPr>
          <w:rFonts w:cs="Arial"/>
          <w:b/>
          <w:bCs/>
        </w:rPr>
      </w:pPr>
    </w:p>
    <w:p w:rsidR="00EF478E" w:rsidRDefault="00EF478E" w:rsidP="00EF478E">
      <w:pPr>
        <w:pStyle w:val="Heading3"/>
        <w:rPr>
          <w:rFonts w:ascii="Times New Roman" w:hAnsi="Times New Roman"/>
          <w:sz w:val="24"/>
          <w:szCs w:val="24"/>
        </w:rPr>
      </w:pPr>
      <w:r>
        <w:t>Regulat</w:t>
      </w:r>
      <w:r w:rsidR="00480129">
        <w:t xml:space="preserve">ory Text </w:t>
      </w:r>
      <w:r>
        <w:t>§ 1026.37(o)(2)</w:t>
      </w:r>
    </w:p>
    <w:p w:rsidR="00480129" w:rsidRDefault="00480129" w:rsidP="00EF478E">
      <w:pPr>
        <w:autoSpaceDE w:val="0"/>
        <w:autoSpaceDN w:val="0"/>
        <w:adjustRightInd w:val="0"/>
        <w:spacing w:after="0" w:line="240" w:lineRule="auto"/>
        <w:ind w:firstLine="0"/>
      </w:pPr>
    </w:p>
    <w:p w:rsidR="001F4B5E" w:rsidRPr="008E20BA" w:rsidRDefault="001F4B5E" w:rsidP="00EF478E">
      <w:pPr>
        <w:autoSpaceDE w:val="0"/>
        <w:autoSpaceDN w:val="0"/>
        <w:adjustRightInd w:val="0"/>
        <w:spacing w:after="0" w:line="240" w:lineRule="auto"/>
        <w:ind w:firstLine="0"/>
      </w:pPr>
      <w:r w:rsidRPr="008E20BA">
        <w:t xml:space="preserve">(2) </w:t>
      </w:r>
      <w:r w:rsidRPr="00B05586">
        <w:rPr>
          <w:rFonts w:ascii="Times New Roman" w:hAnsi="Times New Roman"/>
          <w:b/>
          <w:iCs/>
          <w:sz w:val="24"/>
          <w:szCs w:val="24"/>
        </w:rPr>
        <w:t>Headings and labels.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20BA">
        <w:t>If a master heading, heading, subheading, label, or similar</w:t>
      </w:r>
      <w:r w:rsidR="00512E53" w:rsidRPr="008E20BA">
        <w:t xml:space="preserve"> </w:t>
      </w:r>
      <w:r w:rsidRPr="008E20BA">
        <w:t xml:space="preserve">designation contains the word </w:t>
      </w:r>
      <w:r w:rsidRPr="001E1E4E">
        <w:rPr>
          <w:rFonts w:ascii="Times New Roman" w:hAnsi="Times New Roman"/>
          <w:b/>
          <w:sz w:val="24"/>
          <w:szCs w:val="24"/>
        </w:rPr>
        <w:t>“estimated”</w:t>
      </w:r>
      <w:r w:rsidRPr="008E20BA">
        <w:t xml:space="preserve"> or a capital letter designation in form H-24, set forth</w:t>
      </w:r>
      <w:r w:rsidR="00512E53" w:rsidRPr="008E20BA">
        <w:t xml:space="preserve"> </w:t>
      </w:r>
      <w:r w:rsidRPr="008E20BA">
        <w:t>in appendix H to this part, that heading, label, or similar designation shall contain the word</w:t>
      </w:r>
      <w:r w:rsidR="00512E53" w:rsidRPr="008E20BA">
        <w:t xml:space="preserve"> </w:t>
      </w:r>
      <w:r w:rsidRPr="001E1E4E">
        <w:rPr>
          <w:rFonts w:ascii="Times New Roman" w:hAnsi="Times New Roman"/>
          <w:b/>
          <w:sz w:val="24"/>
          <w:szCs w:val="24"/>
        </w:rPr>
        <w:t>“estimated”</w:t>
      </w:r>
      <w:r w:rsidRPr="008E20BA">
        <w:t xml:space="preserve"> and the applicable capital letter designation.</w:t>
      </w:r>
    </w:p>
    <w:p w:rsidR="00512E53" w:rsidRDefault="00512E53" w:rsidP="00512E5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F478E" w:rsidRDefault="00480129" w:rsidP="00EF478E">
      <w:pPr>
        <w:pStyle w:val="Heading3"/>
      </w:pPr>
      <w:r w:rsidRPr="00DD5441">
        <w:t>Regulat</w:t>
      </w:r>
      <w:r>
        <w:t xml:space="preserve">ory </w:t>
      </w:r>
      <w:r w:rsidR="00EF478E" w:rsidRPr="00435C66">
        <w:t>Commentary</w:t>
      </w:r>
    </w:p>
    <w:p w:rsidR="00480129" w:rsidRDefault="00480129" w:rsidP="00CA1707">
      <w:pPr>
        <w:autoSpaceDE w:val="0"/>
        <w:autoSpaceDN w:val="0"/>
        <w:adjustRightInd w:val="0"/>
        <w:spacing w:after="0" w:line="240" w:lineRule="auto"/>
        <w:ind w:firstLine="0"/>
      </w:pPr>
    </w:p>
    <w:p w:rsidR="00EF478E" w:rsidRPr="00B05586" w:rsidRDefault="009773E5" w:rsidP="00CA1707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1. </w:t>
      </w:r>
      <w:r w:rsidRPr="00B05586">
        <w:rPr>
          <w:b/>
          <w:i/>
          <w:iCs/>
        </w:rPr>
        <w:t>Estimated amounts</w:t>
      </w:r>
      <w:r w:rsidRPr="00B05586">
        <w:rPr>
          <w:i/>
          <w:iCs/>
        </w:rPr>
        <w:t xml:space="preserve">. </w:t>
      </w:r>
      <w:r w:rsidRPr="00B05586">
        <w:rPr>
          <w:i/>
        </w:rPr>
        <w:t xml:space="preserve">Section 1026.37(o)(2) </w:t>
      </w:r>
      <w:r w:rsidR="00174D6A" w:rsidRPr="00B05586">
        <w:rPr>
          <w:b/>
          <w:i/>
        </w:rPr>
        <w:t>[</w:t>
      </w:r>
      <w:r w:rsidR="007C7A6B" w:rsidRPr="00B05586">
        <w:rPr>
          <w:b/>
          <w:i/>
        </w:rPr>
        <w:t>75</w:t>
      </w:r>
      <w:r w:rsidR="00174D6A" w:rsidRPr="00B05586">
        <w:rPr>
          <w:b/>
          <w:i/>
        </w:rPr>
        <w:t>]</w:t>
      </w:r>
      <w:r w:rsidR="00174D6A" w:rsidRPr="00B05586">
        <w:rPr>
          <w:i/>
        </w:rPr>
        <w:t xml:space="preserve"> </w:t>
      </w:r>
      <w:r w:rsidRPr="00B05586">
        <w:rPr>
          <w:i/>
        </w:rPr>
        <w:t xml:space="preserve">incorporates the </w:t>
      </w:r>
      <w:r w:rsidRPr="00B05586">
        <w:rPr>
          <w:b/>
          <w:i/>
        </w:rPr>
        <w:t>“estimated”</w:t>
      </w:r>
      <w:r w:rsidRPr="00B05586">
        <w:rPr>
          <w:i/>
        </w:rPr>
        <w:t xml:space="preserve"> designations</w:t>
      </w:r>
      <w:r w:rsidR="00174D6A" w:rsidRPr="00B05586">
        <w:rPr>
          <w:i/>
        </w:rPr>
        <w:t xml:space="preserve"> </w:t>
      </w:r>
      <w:r w:rsidRPr="00B05586">
        <w:rPr>
          <w:i/>
        </w:rPr>
        <w:t>reflected on form H-24 of appendix H to this part into the disclosure requirements of § 1026.37</w:t>
      </w:r>
      <w:r w:rsidR="00174D6A" w:rsidRPr="00B05586">
        <w:rPr>
          <w:i/>
        </w:rPr>
        <w:t xml:space="preserve"> </w:t>
      </w:r>
      <w:r w:rsidR="00174D6A" w:rsidRPr="00B05586">
        <w:rPr>
          <w:b/>
          <w:i/>
        </w:rPr>
        <w:t>[the Loan Estimate]</w:t>
      </w:r>
      <w:r w:rsidRPr="00B05586">
        <w:rPr>
          <w:b/>
          <w:i/>
        </w:rPr>
        <w:t>,</w:t>
      </w:r>
      <w:r w:rsidR="00174D6A" w:rsidRPr="00B05586">
        <w:rPr>
          <w:b/>
          <w:i/>
        </w:rPr>
        <w:t xml:space="preserve"> </w:t>
      </w:r>
      <w:r w:rsidRPr="00B05586">
        <w:rPr>
          <w:i/>
        </w:rPr>
        <w:t xml:space="preserve">even if the relevant provision of § 1026.37 </w:t>
      </w:r>
      <w:r w:rsidR="00174D6A" w:rsidRPr="00B05586">
        <w:rPr>
          <w:b/>
          <w:i/>
        </w:rPr>
        <w:t>[the Loan Estimate]</w:t>
      </w:r>
      <w:r w:rsidR="00174D6A" w:rsidRPr="00B05586">
        <w:rPr>
          <w:i/>
        </w:rPr>
        <w:t xml:space="preserve"> </w:t>
      </w:r>
      <w:r w:rsidRPr="00B05586">
        <w:rPr>
          <w:i/>
        </w:rPr>
        <w:t>does not expressly require or permit disclosure of the</w:t>
      </w:r>
      <w:r w:rsidR="00174D6A" w:rsidRPr="00B05586">
        <w:rPr>
          <w:i/>
        </w:rPr>
        <w:t xml:space="preserve"> </w:t>
      </w:r>
      <w:r w:rsidRPr="00B05586">
        <w:rPr>
          <w:i/>
        </w:rPr>
        <w:t xml:space="preserve">word </w:t>
      </w:r>
      <w:r w:rsidRPr="00B05586">
        <w:rPr>
          <w:b/>
          <w:i/>
        </w:rPr>
        <w:t>“estimate.”</w:t>
      </w:r>
      <w:r w:rsidRPr="00B05586">
        <w:rPr>
          <w:i/>
        </w:rPr>
        <w:t xml:space="preserve"> Where form H-24 uses the abbreviation </w:t>
      </w:r>
      <w:r w:rsidRPr="00B05586">
        <w:rPr>
          <w:b/>
          <w:i/>
        </w:rPr>
        <w:t>“est.”</w:t>
      </w:r>
      <w:r w:rsidRPr="00B05586">
        <w:rPr>
          <w:i/>
        </w:rPr>
        <w:t xml:space="preserve"> in place of the word</w:t>
      </w:r>
      <w:r w:rsidR="00174D6A" w:rsidRPr="00B05586">
        <w:rPr>
          <w:i/>
        </w:rPr>
        <w:t xml:space="preserve"> </w:t>
      </w:r>
      <w:r w:rsidRPr="00B05586">
        <w:rPr>
          <w:b/>
          <w:i/>
        </w:rPr>
        <w:t>“estimated,”</w:t>
      </w:r>
      <w:r w:rsidRPr="00B05586">
        <w:rPr>
          <w:i/>
        </w:rPr>
        <w:t xml:space="preserve"> § 1026.37(o)(2) </w:t>
      </w:r>
      <w:r w:rsidR="00174D6A" w:rsidRPr="00B05586">
        <w:rPr>
          <w:b/>
          <w:i/>
        </w:rPr>
        <w:t>[</w:t>
      </w:r>
      <w:r w:rsidR="007C7A6B" w:rsidRPr="00B05586">
        <w:rPr>
          <w:b/>
          <w:i/>
        </w:rPr>
        <w:t>75</w:t>
      </w:r>
      <w:r w:rsidR="00174D6A" w:rsidRPr="00B05586">
        <w:rPr>
          <w:b/>
          <w:i/>
        </w:rPr>
        <w:t>]</w:t>
      </w:r>
      <w:r w:rsidR="00174D6A" w:rsidRPr="00B05586">
        <w:rPr>
          <w:i/>
        </w:rPr>
        <w:t xml:space="preserve"> </w:t>
      </w:r>
      <w:r w:rsidRPr="00B05586">
        <w:rPr>
          <w:i/>
        </w:rPr>
        <w:t>also incorporates that designation into its requirement. For</w:t>
      </w:r>
      <w:r w:rsidR="00174D6A" w:rsidRPr="00B05586">
        <w:rPr>
          <w:i/>
        </w:rPr>
        <w:t xml:space="preserve"> </w:t>
      </w:r>
      <w:r w:rsidRPr="00B05586">
        <w:rPr>
          <w:i/>
        </w:rPr>
        <w:t xml:space="preserve">example, § 1026.37(c)(2)(iv) </w:t>
      </w:r>
      <w:r w:rsidR="007E4BF6" w:rsidRPr="00B05586">
        <w:rPr>
          <w:b/>
          <w:i/>
        </w:rPr>
        <w:t>[23]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requires disclosure of the total periodic payment labeled </w:t>
      </w:r>
      <w:r w:rsidRPr="00B05586">
        <w:rPr>
          <w:b/>
          <w:i/>
        </w:rPr>
        <w:t>“Total</w:t>
      </w:r>
      <w:r w:rsidR="007E4BF6" w:rsidRPr="00B05586">
        <w:rPr>
          <w:b/>
          <w:i/>
        </w:rPr>
        <w:t xml:space="preserve"> </w:t>
      </w:r>
      <w:r w:rsidRPr="00B05586">
        <w:rPr>
          <w:b/>
          <w:i/>
        </w:rPr>
        <w:t>Monthly Payment,”</w:t>
      </w:r>
      <w:r w:rsidRPr="00B05586">
        <w:rPr>
          <w:i/>
        </w:rPr>
        <w:t xml:space="preserve"> but the label on form H-24 contains the designation </w:t>
      </w:r>
      <w:r w:rsidRPr="00B05586">
        <w:rPr>
          <w:b/>
          <w:i/>
        </w:rPr>
        <w:t>“Estimated”</w:t>
      </w:r>
      <w:r w:rsidRPr="00B05586">
        <w:rPr>
          <w:i/>
        </w:rPr>
        <w:t xml:space="preserve"> and thus,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the label required by § 1026.37(c)(2)(iv) </w:t>
      </w:r>
      <w:r w:rsidR="007E4BF6" w:rsidRPr="00B05586">
        <w:rPr>
          <w:b/>
          <w:i/>
        </w:rPr>
        <w:t>[23]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must contain the designation </w:t>
      </w:r>
      <w:r w:rsidRPr="00B05586">
        <w:rPr>
          <w:b/>
          <w:i/>
        </w:rPr>
        <w:t>“Estimated.”</w:t>
      </w:r>
      <w:r w:rsidRPr="00B05586">
        <w:rPr>
          <w:i/>
        </w:rPr>
        <w:t xml:space="preserve"> Although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many of the disclosures required by § 1026.38 </w:t>
      </w:r>
      <w:r w:rsidR="007E4BF6" w:rsidRPr="00B05586">
        <w:rPr>
          <w:b/>
          <w:i/>
        </w:rPr>
        <w:t>[the Closing Disclosure]</w:t>
      </w:r>
      <w:r w:rsidR="007E4BF6" w:rsidRPr="00B05586">
        <w:rPr>
          <w:i/>
        </w:rPr>
        <w:t xml:space="preserve"> </w:t>
      </w:r>
      <w:r w:rsidRPr="00B05586">
        <w:rPr>
          <w:i/>
        </w:rPr>
        <w:t>cross-reference their counterparts in § 1026.37</w:t>
      </w:r>
      <w:r w:rsidR="007E4BF6" w:rsidRPr="00B05586">
        <w:rPr>
          <w:i/>
        </w:rPr>
        <w:t xml:space="preserve"> </w:t>
      </w:r>
      <w:r w:rsidR="007E4BF6" w:rsidRPr="00B05586">
        <w:rPr>
          <w:b/>
          <w:i/>
        </w:rPr>
        <w:t>[the Loan Estimate]</w:t>
      </w:r>
      <w:r w:rsidRPr="00B05586">
        <w:rPr>
          <w:b/>
          <w:i/>
        </w:rPr>
        <w:t>,</w:t>
      </w:r>
      <w:r w:rsidR="007E4BF6" w:rsidRPr="00B05586">
        <w:rPr>
          <w:b/>
          <w:i/>
        </w:rPr>
        <w:t xml:space="preserve"> </w:t>
      </w:r>
      <w:r w:rsidRPr="00B05586">
        <w:rPr>
          <w:i/>
        </w:rPr>
        <w:t>§ 1026.38(t</w:t>
      </w:r>
      <w:r w:rsidRPr="00B05586">
        <w:rPr>
          <w:b/>
          <w:i/>
        </w:rPr>
        <w:t xml:space="preserve">) </w:t>
      </w:r>
      <w:r w:rsidR="007E4BF6" w:rsidRPr="00B05586">
        <w:rPr>
          <w:b/>
          <w:i/>
        </w:rPr>
        <w:t>[the Closing Disclosure]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incorporates the </w:t>
      </w:r>
      <w:r w:rsidRPr="00B05586">
        <w:rPr>
          <w:b/>
          <w:i/>
        </w:rPr>
        <w:t>“estimated”</w:t>
      </w:r>
      <w:r w:rsidRPr="00B05586">
        <w:rPr>
          <w:i/>
        </w:rPr>
        <w:t xml:space="preserve"> designations reflected on form H-25, not form H-24.</w:t>
      </w:r>
    </w:p>
    <w:p w:rsidR="00EF478E" w:rsidRDefault="00EF478E" w:rsidP="00EF4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E4E" w:rsidRDefault="001E1E4E" w:rsidP="00512E53">
      <w:pPr>
        <w:autoSpaceDE w:val="0"/>
        <w:autoSpaceDN w:val="0"/>
        <w:adjustRightInd w:val="0"/>
        <w:spacing w:after="0" w:line="240" w:lineRule="auto"/>
        <w:ind w:firstLine="0"/>
      </w:pPr>
    </w:p>
    <w:p w:rsidR="00631103" w:rsidRDefault="00631103" w:rsidP="00631103">
      <w:pPr>
        <w:pStyle w:val="Heading3"/>
      </w:pPr>
      <w:r>
        <w:t>CFPB Guide</w:t>
      </w:r>
    </w:p>
    <w:p w:rsidR="00631103" w:rsidRPr="00D7282B" w:rsidRDefault="00631103" w:rsidP="00631103">
      <w:pPr>
        <w:autoSpaceDE w:val="0"/>
        <w:autoSpaceDN w:val="0"/>
        <w:adjustRightInd w:val="0"/>
        <w:spacing w:after="0" w:line="240" w:lineRule="auto"/>
        <w:ind w:firstLine="0"/>
      </w:pPr>
      <w:r>
        <w:t>None.</w:t>
      </w:r>
    </w:p>
    <w:p w:rsidR="001E1E4E" w:rsidRDefault="001E1E4E" w:rsidP="00512E5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F478E" w:rsidRDefault="00480129" w:rsidP="001D312C">
      <w:pPr>
        <w:pStyle w:val="Heading2"/>
      </w:pPr>
      <w:bookmarkStart w:id="12" w:name="_Toc436835339"/>
      <w:r>
        <w:br w:type="page"/>
      </w:r>
      <w:r w:rsidR="00EF478E">
        <w:lastRenderedPageBreak/>
        <w:t>[7</w:t>
      </w:r>
      <w:r w:rsidR="00847580">
        <w:t>6</w:t>
      </w:r>
      <w:r w:rsidR="00EF478E">
        <w:t>] Form</w:t>
      </w:r>
      <w:bookmarkEnd w:id="12"/>
    </w:p>
    <w:p w:rsidR="001D312C" w:rsidRDefault="001D312C" w:rsidP="00EF478E">
      <w:pPr>
        <w:pStyle w:val="Heading3"/>
      </w:pPr>
    </w:p>
    <w:p w:rsidR="001D312C" w:rsidRDefault="001D312C" w:rsidP="001D312C">
      <w:pPr>
        <w:pStyle w:val="Heading3"/>
      </w:pPr>
      <w:r>
        <w:t>Y&amp;A Completion Instruction:</w:t>
      </w:r>
    </w:p>
    <w:p w:rsidR="001D312C" w:rsidRDefault="001D312C" w:rsidP="001D312C">
      <w:pPr>
        <w:ind w:firstLine="0"/>
      </w:pPr>
      <w:r>
        <w:t>There are no completion instructions for this section. This instruction requires that all federally related mortgage loans use the Loan Estimate form (H-24) or a substantially similar document.</w:t>
      </w:r>
    </w:p>
    <w:p w:rsidR="001D312C" w:rsidRDefault="001D312C" w:rsidP="001D312C">
      <w:pPr>
        <w:widowControl/>
        <w:suppressAutoHyphens w:val="0"/>
        <w:spacing w:after="0" w:line="240" w:lineRule="auto"/>
        <w:ind w:firstLine="0"/>
        <w:jc w:val="left"/>
        <w:rPr>
          <w:rFonts w:cs="Arial"/>
          <w:b/>
          <w:bCs/>
        </w:rPr>
      </w:pPr>
    </w:p>
    <w:p w:rsidR="00EF478E" w:rsidRDefault="00EF478E" w:rsidP="00EF478E">
      <w:pPr>
        <w:pStyle w:val="Heading3"/>
        <w:rPr>
          <w:rFonts w:ascii="Times New Roman" w:hAnsi="Times New Roman"/>
          <w:sz w:val="24"/>
          <w:szCs w:val="24"/>
        </w:rPr>
      </w:pPr>
      <w:r>
        <w:t>Regulation § 1026.37(o)(3)</w:t>
      </w:r>
    </w:p>
    <w:p w:rsidR="00B05586" w:rsidRDefault="00B05586" w:rsidP="00EF478E">
      <w:pPr>
        <w:autoSpaceDE w:val="0"/>
        <w:autoSpaceDN w:val="0"/>
        <w:adjustRightInd w:val="0"/>
        <w:spacing w:after="0" w:line="240" w:lineRule="auto"/>
        <w:ind w:firstLine="0"/>
      </w:pPr>
    </w:p>
    <w:p w:rsidR="001E1E4E" w:rsidRPr="00D7282B" w:rsidRDefault="001F4B5E" w:rsidP="00EF478E">
      <w:pPr>
        <w:autoSpaceDE w:val="0"/>
        <w:autoSpaceDN w:val="0"/>
        <w:adjustRightInd w:val="0"/>
        <w:spacing w:after="0" w:line="240" w:lineRule="auto"/>
        <w:ind w:firstLine="0"/>
      </w:pPr>
      <w:r w:rsidRPr="00D7282B">
        <w:t xml:space="preserve">(3) </w:t>
      </w:r>
      <w:r w:rsidRPr="00B05586">
        <w:rPr>
          <w:b/>
          <w:iCs/>
        </w:rPr>
        <w:t>Form.</w:t>
      </w:r>
      <w:r w:rsidRPr="00D7282B">
        <w:rPr>
          <w:i/>
          <w:iCs/>
        </w:rPr>
        <w:t xml:space="preserve"> </w:t>
      </w:r>
      <w:r w:rsidRPr="00D7282B">
        <w:t xml:space="preserve">Except as provided in paragraph (o)(5) </w:t>
      </w:r>
      <w:r w:rsidR="009010A2" w:rsidRPr="00D7282B">
        <w:rPr>
          <w:b/>
        </w:rPr>
        <w:t>[78]</w:t>
      </w:r>
      <w:r w:rsidR="009010A2" w:rsidRPr="00D7282B">
        <w:t xml:space="preserve"> </w:t>
      </w:r>
      <w:r w:rsidRPr="00D7282B">
        <w:t xml:space="preserve">of this section: </w:t>
      </w:r>
    </w:p>
    <w:p w:rsidR="001E1E4E" w:rsidRPr="00D7282B" w:rsidRDefault="001E1E4E" w:rsidP="00512E53">
      <w:pPr>
        <w:autoSpaceDE w:val="0"/>
        <w:autoSpaceDN w:val="0"/>
        <w:adjustRightInd w:val="0"/>
        <w:spacing w:after="0" w:line="240" w:lineRule="auto"/>
        <w:ind w:firstLine="0"/>
      </w:pPr>
    </w:p>
    <w:p w:rsidR="001F4B5E" w:rsidRPr="00D7282B" w:rsidRDefault="001F4B5E" w:rsidP="0048012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0"/>
      </w:pPr>
      <w:r w:rsidRPr="00D7282B">
        <w:t>(i) For a transaction</w:t>
      </w:r>
      <w:r w:rsidR="00512E53" w:rsidRPr="00D7282B">
        <w:t xml:space="preserve"> </w:t>
      </w:r>
      <w:r w:rsidRPr="00D7282B">
        <w:t>subject to § 1026.19(e) that is a federally related mortgage loan, as defined in Regulation X, 12</w:t>
      </w:r>
      <w:r w:rsidR="00512E53" w:rsidRPr="00D7282B">
        <w:t xml:space="preserve"> </w:t>
      </w:r>
      <w:r w:rsidRPr="00D7282B">
        <w:t>CFR 1024.2, the disclosures must be made using form H-24, set forth in appendix H to this part.</w:t>
      </w:r>
      <w:r w:rsidR="00512E53" w:rsidRPr="00D7282B">
        <w:t xml:space="preserve"> </w:t>
      </w:r>
    </w:p>
    <w:p w:rsidR="00512E53" w:rsidRPr="00D7282B" w:rsidRDefault="00512E53" w:rsidP="0048012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0"/>
      </w:pPr>
    </w:p>
    <w:p w:rsidR="001F4B5E" w:rsidRPr="00D7282B" w:rsidRDefault="001F4B5E" w:rsidP="0048012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0"/>
      </w:pPr>
      <w:r w:rsidRPr="00D7282B">
        <w:t>(ii) For any other transaction subject to this section, the disclosures must be made with</w:t>
      </w:r>
      <w:r w:rsidR="00512E53" w:rsidRPr="00D7282B">
        <w:t xml:space="preserve"> </w:t>
      </w:r>
      <w:r w:rsidRPr="00D7282B">
        <w:t>headings, content, and format substantially similar to form H-24, set forth in appendix H to this</w:t>
      </w:r>
      <w:r w:rsidR="00512E53" w:rsidRPr="00D7282B">
        <w:t xml:space="preserve"> </w:t>
      </w:r>
      <w:r w:rsidRPr="00D7282B">
        <w:t>part.</w:t>
      </w:r>
    </w:p>
    <w:p w:rsidR="00512E53" w:rsidRPr="00D7282B" w:rsidRDefault="00512E53" w:rsidP="0048012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0"/>
      </w:pPr>
    </w:p>
    <w:p w:rsidR="001F4B5E" w:rsidRPr="00D7282B" w:rsidRDefault="001F4B5E" w:rsidP="0048012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0"/>
      </w:pPr>
      <w:r w:rsidRPr="00D7282B">
        <w:t>(iii) The disclosures required by this section may be provided to the consumer in</w:t>
      </w:r>
      <w:r w:rsidR="00512E53" w:rsidRPr="00D7282B">
        <w:t xml:space="preserve"> </w:t>
      </w:r>
      <w:r w:rsidRPr="00D7282B">
        <w:t>electronic form, subject to compliance with the consumer consent and other applicable</w:t>
      </w:r>
      <w:r w:rsidR="00512E53" w:rsidRPr="00D7282B">
        <w:t xml:space="preserve"> </w:t>
      </w:r>
      <w:r w:rsidRPr="00D7282B">
        <w:t>provisions of the Electronic Signatures in Global and National Commerce Act (15 U.S.C. 7001</w:t>
      </w:r>
      <w:r w:rsidR="00512E53" w:rsidRPr="00D7282B">
        <w:t xml:space="preserve"> </w:t>
      </w:r>
      <w:r w:rsidRPr="00D7282B">
        <w:rPr>
          <w:i/>
          <w:iCs/>
        </w:rPr>
        <w:t>et seq.</w:t>
      </w:r>
      <w:r w:rsidRPr="00D7282B">
        <w:t>).</w:t>
      </w:r>
    </w:p>
    <w:p w:rsidR="00512E53" w:rsidRDefault="00512E53" w:rsidP="00512E5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80129" w:rsidRDefault="00480129" w:rsidP="00EF478E">
      <w:pPr>
        <w:pStyle w:val="Heading3"/>
      </w:pPr>
    </w:p>
    <w:p w:rsidR="00EF478E" w:rsidRDefault="00DB77B7" w:rsidP="00EF478E">
      <w:pPr>
        <w:pStyle w:val="Heading3"/>
      </w:pPr>
      <w:r>
        <w:t>Regulatory Commentary</w:t>
      </w:r>
    </w:p>
    <w:p w:rsidR="00F96617" w:rsidRDefault="00F96617" w:rsidP="007E4BF6">
      <w:pPr>
        <w:autoSpaceDE w:val="0"/>
        <w:autoSpaceDN w:val="0"/>
        <w:adjustRightInd w:val="0"/>
        <w:spacing w:after="0" w:line="240" w:lineRule="auto"/>
        <w:ind w:firstLine="0"/>
      </w:pPr>
    </w:p>
    <w:p w:rsidR="009773E5" w:rsidRDefault="009773E5" w:rsidP="007E4BF6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1. </w:t>
      </w:r>
      <w:r w:rsidRPr="00B05586">
        <w:rPr>
          <w:b/>
          <w:i/>
          <w:iCs/>
        </w:rPr>
        <w:t>Non-federally related mortgage loans.</w:t>
      </w:r>
      <w:r w:rsidRPr="00B05586">
        <w:rPr>
          <w:i/>
          <w:iCs/>
        </w:rPr>
        <w:t xml:space="preserve"> </w:t>
      </w:r>
      <w:r w:rsidRPr="00B05586">
        <w:rPr>
          <w:i/>
        </w:rPr>
        <w:t>For a non-federally related mortgage loan, the</w:t>
      </w:r>
      <w:r w:rsidR="007E4BF6" w:rsidRPr="00B05586">
        <w:rPr>
          <w:i/>
        </w:rPr>
        <w:t xml:space="preserve"> </w:t>
      </w:r>
      <w:r w:rsidRPr="00B05586">
        <w:rPr>
          <w:i/>
        </w:rPr>
        <w:t>creditor is not required to use form H-24 of appendix H to this part, although its use as a model</w:t>
      </w:r>
      <w:r w:rsidR="007E4BF6" w:rsidRPr="00B05586">
        <w:rPr>
          <w:i/>
        </w:rPr>
        <w:t xml:space="preserve"> </w:t>
      </w:r>
      <w:r w:rsidRPr="00B05586">
        <w:rPr>
          <w:i/>
        </w:rPr>
        <w:t>form for such transactions, if properly completed with accurate content, constitutes compliance</w:t>
      </w:r>
      <w:r w:rsidR="007E4BF6" w:rsidRPr="00B05586">
        <w:rPr>
          <w:i/>
        </w:rPr>
        <w:t xml:space="preserve"> </w:t>
      </w:r>
      <w:r w:rsidRPr="00B05586">
        <w:rPr>
          <w:i/>
        </w:rPr>
        <w:t>with the clear and conspicuous and segregation requirements of § 1026.37(o)(1)(i)</w:t>
      </w:r>
      <w:r w:rsidR="007E4BF6" w:rsidRPr="00B05586">
        <w:rPr>
          <w:i/>
        </w:rPr>
        <w:t xml:space="preserve"> </w:t>
      </w:r>
      <w:r w:rsidR="007E4BF6" w:rsidRPr="00B05586">
        <w:rPr>
          <w:b/>
          <w:i/>
        </w:rPr>
        <w:t>[</w:t>
      </w:r>
      <w:r w:rsidR="007C7A6B" w:rsidRPr="00B05586">
        <w:rPr>
          <w:b/>
          <w:i/>
        </w:rPr>
        <w:t>74</w:t>
      </w:r>
      <w:r w:rsidR="007E4BF6" w:rsidRPr="00B05586">
        <w:rPr>
          <w:b/>
          <w:i/>
        </w:rPr>
        <w:t>]</w:t>
      </w:r>
      <w:r w:rsidRPr="00B05586">
        <w:rPr>
          <w:b/>
          <w:i/>
        </w:rPr>
        <w:t>.</w:t>
      </w:r>
      <w:r w:rsidRPr="00B05586">
        <w:rPr>
          <w:i/>
        </w:rPr>
        <w:t xml:space="preserve"> Even when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the creditor elects not to use the model form, § 1026.37(o)(1) </w:t>
      </w:r>
      <w:r w:rsidR="007E4BF6" w:rsidRPr="00B05586">
        <w:rPr>
          <w:b/>
          <w:i/>
        </w:rPr>
        <w:t>[</w:t>
      </w:r>
      <w:r w:rsidR="007C7A6B" w:rsidRPr="00B05586">
        <w:rPr>
          <w:b/>
          <w:i/>
        </w:rPr>
        <w:t>74</w:t>
      </w:r>
      <w:r w:rsidR="007E4BF6" w:rsidRPr="00B05586">
        <w:rPr>
          <w:b/>
          <w:i/>
        </w:rPr>
        <w:t>]</w:t>
      </w:r>
      <w:r w:rsidR="007E4BF6" w:rsidRPr="00B05586">
        <w:rPr>
          <w:i/>
        </w:rPr>
        <w:t xml:space="preserve"> </w:t>
      </w:r>
      <w:r w:rsidRPr="00B05586">
        <w:rPr>
          <w:i/>
        </w:rPr>
        <w:t>requires that the disclosures be</w:t>
      </w:r>
      <w:r w:rsidR="007E4BF6" w:rsidRPr="00B05586">
        <w:rPr>
          <w:i/>
        </w:rPr>
        <w:t xml:space="preserve"> </w:t>
      </w:r>
      <w:r w:rsidRPr="00B05586">
        <w:rPr>
          <w:i/>
        </w:rPr>
        <w:t>grouped together and segregated from everything else; contai</w:t>
      </w:r>
      <w:r w:rsidRPr="00B05586">
        <w:rPr>
          <w:i/>
        </w:rPr>
        <w:lastRenderedPageBreak/>
        <w:t>n only the information required by</w:t>
      </w:r>
      <w:r w:rsidR="007E4BF6" w:rsidRPr="00B05586">
        <w:rPr>
          <w:i/>
        </w:rPr>
        <w:t xml:space="preserve"> </w:t>
      </w:r>
      <w:r w:rsidRPr="00B05586">
        <w:rPr>
          <w:i/>
        </w:rPr>
        <w:t>§ 1026.37(a) through (n)</w:t>
      </w:r>
      <w:r w:rsidR="007E4BF6" w:rsidRPr="00B05586">
        <w:rPr>
          <w:b/>
          <w:i/>
        </w:rPr>
        <w:t xml:space="preserve"> [see all previous manual sections]</w:t>
      </w:r>
      <w:r w:rsidRPr="00B05586">
        <w:rPr>
          <w:b/>
          <w:i/>
        </w:rPr>
        <w:t>;</w:t>
      </w:r>
      <w:r w:rsidRPr="00B05586">
        <w:rPr>
          <w:i/>
        </w:rPr>
        <w:t xml:space="preserve"> and be provided in the same order as they occur in form H-24, using</w:t>
      </w:r>
      <w:r w:rsidR="007E4BF6" w:rsidRPr="00B05586">
        <w:rPr>
          <w:i/>
        </w:rPr>
        <w:t xml:space="preserve"> </w:t>
      </w:r>
      <w:r w:rsidRPr="00B05586">
        <w:rPr>
          <w:i/>
        </w:rPr>
        <w:t>the same relative positions of the headings, labels, and similar designations as shown in the form.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In addition, § 1026.37(o)(2) </w:t>
      </w:r>
      <w:r w:rsidR="007E4BF6" w:rsidRPr="00B05586">
        <w:rPr>
          <w:b/>
          <w:i/>
        </w:rPr>
        <w:t>[</w:t>
      </w:r>
      <w:r w:rsidR="007C7A6B" w:rsidRPr="00B05586">
        <w:rPr>
          <w:b/>
          <w:i/>
        </w:rPr>
        <w:t>75</w:t>
      </w:r>
      <w:r w:rsidR="007E4BF6" w:rsidRPr="00B05586">
        <w:rPr>
          <w:b/>
          <w:i/>
        </w:rPr>
        <w:t>]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requires that the creditor include the designation of </w:t>
      </w:r>
      <w:r w:rsidRPr="00B05586">
        <w:rPr>
          <w:b/>
          <w:i/>
        </w:rPr>
        <w:t>“estimated”</w:t>
      </w:r>
      <w:r w:rsidRPr="00B05586">
        <w:rPr>
          <w:i/>
        </w:rPr>
        <w:t xml:space="preserve"> for</w:t>
      </w:r>
      <w:r w:rsidR="007E4BF6" w:rsidRPr="00B05586">
        <w:rPr>
          <w:i/>
        </w:rPr>
        <w:t xml:space="preserve"> </w:t>
      </w:r>
      <w:r w:rsidRPr="00B05586">
        <w:rPr>
          <w:i/>
        </w:rPr>
        <w:t>all h</w:t>
      </w:r>
      <w:r w:rsidRPr="00B05586">
        <w:rPr>
          <w:i/>
        </w:rPr>
        <w:lastRenderedPageBreak/>
        <w:t xml:space="preserve">eadings, subheading, labels, and similar designations required by § 1026.37 </w:t>
      </w:r>
      <w:r w:rsidR="007E4BF6" w:rsidRPr="00B05586">
        <w:rPr>
          <w:b/>
          <w:i/>
        </w:rPr>
        <w:t>[the Loan Estimate]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for which formH-24 contains the </w:t>
      </w:r>
      <w:r w:rsidRPr="00B05586">
        <w:rPr>
          <w:b/>
          <w:i/>
        </w:rPr>
        <w:t>“estimated”</w:t>
      </w:r>
      <w:r w:rsidRPr="00B05586">
        <w:rPr>
          <w:i/>
        </w:rPr>
        <w:t xml:space="preserve"> designation in such heading, subheading, label, or similar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designation. The disclosures required by § 1026.37 </w:t>
      </w:r>
      <w:r w:rsidR="007E4BF6" w:rsidRPr="00B05586">
        <w:rPr>
          <w:b/>
          <w:i/>
        </w:rPr>
        <w:t>[the Loan Estimate]</w:t>
      </w:r>
      <w:r w:rsidR="007E4BF6" w:rsidRPr="00B05586">
        <w:rPr>
          <w:i/>
        </w:rPr>
        <w:t xml:space="preserve"> </w:t>
      </w:r>
      <w:r w:rsidRPr="00B05586">
        <w:rPr>
          <w:i/>
        </w:rPr>
        <w:t>comply with the requirement to be in a</w:t>
      </w:r>
      <w:r w:rsidR="007E4BF6" w:rsidRPr="00B05586">
        <w:rPr>
          <w:i/>
        </w:rPr>
        <w:t xml:space="preserve"> </w:t>
      </w:r>
      <w:r w:rsidRPr="00B05586">
        <w:rPr>
          <w:i/>
        </w:rPr>
        <w:t>format substantially similar to form H-24 when provided on letter size (8.5” x 11”) paper.</w:t>
      </w:r>
    </w:p>
    <w:p w:rsidR="00631103" w:rsidRDefault="00631103" w:rsidP="007E4BF6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631103" w:rsidRDefault="00631103" w:rsidP="007E4BF6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631103" w:rsidRDefault="00631103" w:rsidP="007E4BF6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631103" w:rsidRDefault="00631103" w:rsidP="00631103">
      <w:pPr>
        <w:pStyle w:val="Heading3"/>
      </w:pPr>
      <w:r>
        <w:lastRenderedPageBreak/>
        <w:t>CFPB</w:t>
      </w:r>
      <w:r>
        <w:lastRenderedPageBreak/>
        <w:t xml:space="preserve"> Guide</w:t>
      </w:r>
    </w:p>
    <w:p w:rsidR="00631103" w:rsidRPr="00B05586" w:rsidRDefault="00631103" w:rsidP="00631103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>
        <w:t>None.</w:t>
      </w:r>
    </w:p>
    <w:p w:rsidR="009773E5" w:rsidRPr="009773E5" w:rsidRDefault="009773E5" w:rsidP="009773E5"/>
    <w:p w:rsidR="003E2704" w:rsidRDefault="003E2704" w:rsidP="001D62F8">
      <w:pPr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bCs/>
          <w:i/>
          <w:iCs/>
          <w:kern w:val="30"/>
          <w:sz w:val="28"/>
          <w:szCs w:val="28"/>
        </w:rPr>
      </w:pPr>
      <w:r>
        <w:br w:type="page"/>
      </w:r>
    </w:p>
    <w:p w:rsidR="00EF478E" w:rsidRDefault="00EF478E" w:rsidP="00EF478E">
      <w:pPr>
        <w:pStyle w:val="Heading2"/>
      </w:pPr>
      <w:bookmarkStart w:id="13" w:name="_Toc436835340"/>
      <w:r>
        <w:lastRenderedPageBreak/>
        <w:t>[7</w:t>
      </w:r>
      <w:r w:rsidR="00847580">
        <w:t>7</w:t>
      </w:r>
      <w:r>
        <w:t>] Rounding</w:t>
      </w:r>
      <w:bookmarkEnd w:id="13"/>
    </w:p>
    <w:p w:rsidR="00480129" w:rsidRDefault="00480129" w:rsidP="00EF478E">
      <w:pPr>
        <w:pStyle w:val="Heading3"/>
      </w:pPr>
    </w:p>
    <w:p w:rsidR="00EF478E" w:rsidRDefault="00EF478E" w:rsidP="00EF478E">
      <w:pPr>
        <w:pStyle w:val="Heading3"/>
        <w:rPr>
          <w:rFonts w:ascii="Times New Roman" w:hAnsi="Times New Roman"/>
          <w:sz w:val="24"/>
          <w:szCs w:val="24"/>
        </w:rPr>
      </w:pPr>
      <w:r>
        <w:t>Regulat</w:t>
      </w:r>
      <w:r w:rsidR="00480129">
        <w:t>ory Text</w:t>
      </w:r>
      <w:r>
        <w:t xml:space="preserve"> § 1026.37(o)(4)</w:t>
      </w:r>
    </w:p>
    <w:p w:rsidR="00B103EF" w:rsidRDefault="00B103EF" w:rsidP="00EF478E">
      <w:pPr>
        <w:autoSpaceDE w:val="0"/>
        <w:autoSpaceDN w:val="0"/>
        <w:adjustRightInd w:val="0"/>
        <w:spacing w:after="0" w:line="240" w:lineRule="auto"/>
        <w:ind w:firstLine="0"/>
      </w:pPr>
    </w:p>
    <w:p w:rsidR="00512E53" w:rsidRPr="00B05586" w:rsidRDefault="001F4B5E" w:rsidP="00EF478E">
      <w:pPr>
        <w:autoSpaceDE w:val="0"/>
        <w:autoSpaceDN w:val="0"/>
        <w:adjustRightInd w:val="0"/>
        <w:spacing w:after="0" w:line="240" w:lineRule="auto"/>
        <w:ind w:firstLine="0"/>
        <w:rPr>
          <w:iCs/>
        </w:rPr>
      </w:pPr>
      <w:r w:rsidRPr="00D7282B">
        <w:t xml:space="preserve">(4) </w:t>
      </w:r>
      <w:r w:rsidRPr="00B05586">
        <w:rPr>
          <w:b/>
          <w:iCs/>
        </w:rPr>
        <w:t>Rounding.</w:t>
      </w:r>
      <w:r w:rsidRPr="00B05586">
        <w:rPr>
          <w:iCs/>
        </w:rPr>
        <w:t xml:space="preserve"> </w:t>
      </w:r>
    </w:p>
    <w:p w:rsidR="00512E53" w:rsidRPr="00B05586" w:rsidRDefault="00512E53" w:rsidP="00512E53">
      <w:pPr>
        <w:autoSpaceDE w:val="0"/>
        <w:autoSpaceDN w:val="0"/>
        <w:adjustRightInd w:val="0"/>
        <w:spacing w:after="0" w:line="240" w:lineRule="auto"/>
        <w:ind w:firstLine="0"/>
        <w:rPr>
          <w:iCs/>
        </w:rPr>
      </w:pPr>
    </w:p>
    <w:p w:rsidR="00512E53" w:rsidRPr="00D7282B" w:rsidRDefault="001F4B5E" w:rsidP="001E1E4E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i/>
          <w:iCs/>
          <w:highlight w:val="red"/>
        </w:rPr>
      </w:pPr>
      <w:r w:rsidRPr="00B05586">
        <w:t xml:space="preserve">(i) </w:t>
      </w:r>
      <w:r w:rsidRPr="00B05586">
        <w:rPr>
          <w:b/>
          <w:iCs/>
        </w:rPr>
        <w:t>Nearest dollar.</w:t>
      </w:r>
      <w:r w:rsidRPr="00D7282B">
        <w:rPr>
          <w:b/>
          <w:i/>
          <w:iCs/>
        </w:rPr>
        <w:t xml:space="preserve"> </w:t>
      </w:r>
    </w:p>
    <w:p w:rsidR="00512E53" w:rsidRPr="00D7282B" w:rsidRDefault="00512E53" w:rsidP="00512E53">
      <w:pPr>
        <w:autoSpaceDE w:val="0"/>
        <w:autoSpaceDN w:val="0"/>
        <w:adjustRightInd w:val="0"/>
        <w:spacing w:after="0" w:line="240" w:lineRule="auto"/>
        <w:ind w:firstLine="0"/>
        <w:rPr>
          <w:i/>
          <w:iCs/>
          <w:highlight w:val="red"/>
        </w:rPr>
      </w:pPr>
    </w:p>
    <w:p w:rsidR="001F4B5E" w:rsidRPr="00D7282B" w:rsidRDefault="001F4B5E" w:rsidP="00480129">
      <w:pPr>
        <w:autoSpaceDE w:val="0"/>
        <w:autoSpaceDN w:val="0"/>
        <w:adjustRightInd w:val="0"/>
        <w:spacing w:after="0" w:line="240" w:lineRule="auto"/>
        <w:ind w:left="720" w:firstLine="0"/>
      </w:pPr>
      <w:r w:rsidRPr="00D7282B">
        <w:t>(A) The dollar amounts required to be disclosed by</w:t>
      </w:r>
      <w:r w:rsidR="00512E53" w:rsidRPr="00D7282B">
        <w:t xml:space="preserve"> </w:t>
      </w:r>
      <w:r w:rsidRPr="00D7282B">
        <w:t>paragraphs (b)(6) and (7)</w:t>
      </w:r>
      <w:r w:rsidR="00177E97" w:rsidRPr="00D7282B">
        <w:t xml:space="preserve"> </w:t>
      </w:r>
      <w:r w:rsidR="00177E97" w:rsidRPr="00D7282B">
        <w:rPr>
          <w:b/>
        </w:rPr>
        <w:t>[19 and 20]</w:t>
      </w:r>
      <w:r w:rsidRPr="00D7282B">
        <w:rPr>
          <w:b/>
        </w:rPr>
        <w:t>,</w:t>
      </w:r>
      <w:r w:rsidRPr="00D7282B">
        <w:t xml:space="preserve"> (c)(1)(iii), (c)(2)(ii) and (iii), (c)(4)(ii)</w:t>
      </w:r>
      <w:r w:rsidR="00177E97" w:rsidRPr="00D7282B">
        <w:t xml:space="preserve"> </w:t>
      </w:r>
      <w:r w:rsidR="00177E97" w:rsidRPr="00D7282B">
        <w:rPr>
          <w:b/>
        </w:rPr>
        <w:t>[22, 23 and 25]</w:t>
      </w:r>
      <w:r w:rsidRPr="00D7282B">
        <w:rPr>
          <w:b/>
        </w:rPr>
        <w:t>,</w:t>
      </w:r>
      <w:r w:rsidRPr="00D7282B">
        <w:t xml:space="preserve"> (f), (g), (h), (i), and (l)</w:t>
      </w:r>
      <w:r w:rsidRPr="00D7282B">
        <w:rPr>
          <w:b/>
        </w:rPr>
        <w:t xml:space="preserve"> </w:t>
      </w:r>
      <w:r w:rsidR="00177E97" w:rsidRPr="00D7282B">
        <w:rPr>
          <w:b/>
        </w:rPr>
        <w:t>and [manual sections 7, 8, 9, 10 and 13]</w:t>
      </w:r>
      <w:r w:rsidR="00177E97" w:rsidRPr="00D7282B">
        <w:t xml:space="preserve"> </w:t>
      </w:r>
      <w:r w:rsidRPr="00D7282B">
        <w:t>of this</w:t>
      </w:r>
      <w:r w:rsidR="00512E53" w:rsidRPr="00D7282B">
        <w:t xml:space="preserve"> </w:t>
      </w:r>
      <w:r w:rsidRPr="00D7282B">
        <w:t>section shall be rounded to the nearest whole dollar, except that the per diem amount required to</w:t>
      </w:r>
      <w:r w:rsidR="00512E53" w:rsidRPr="00D7282B">
        <w:t xml:space="preserve"> </w:t>
      </w:r>
      <w:r w:rsidRPr="00D7282B">
        <w:t xml:space="preserve">be disclosed by paragraph (g)(2)(iii) </w:t>
      </w:r>
      <w:r w:rsidR="00177E97" w:rsidRPr="00D7282B">
        <w:rPr>
          <w:b/>
        </w:rPr>
        <w:t>[37]</w:t>
      </w:r>
      <w:r w:rsidR="00177E97" w:rsidRPr="00D7282B">
        <w:t xml:space="preserve"> </w:t>
      </w:r>
      <w:r w:rsidRPr="00D7282B">
        <w:t>of this section and the monthly amounts required to be</w:t>
      </w:r>
      <w:r w:rsidR="00512E53" w:rsidRPr="00D7282B">
        <w:t xml:space="preserve"> </w:t>
      </w:r>
      <w:r w:rsidRPr="00D7282B">
        <w:t>disclosed by paragraphs (g)(3)(i) through (iv)</w:t>
      </w:r>
      <w:r w:rsidRPr="00D7282B">
        <w:rPr>
          <w:b/>
        </w:rPr>
        <w:t xml:space="preserve"> </w:t>
      </w:r>
      <w:r w:rsidR="00177E97" w:rsidRPr="00D7282B">
        <w:rPr>
          <w:b/>
        </w:rPr>
        <w:t xml:space="preserve">[38] </w:t>
      </w:r>
      <w:r w:rsidRPr="00D7282B">
        <w:t>of this section shall not be rounded.</w:t>
      </w:r>
      <w:r w:rsidR="00512E53" w:rsidRPr="00D7282B">
        <w:t xml:space="preserve"> </w:t>
      </w:r>
    </w:p>
    <w:p w:rsidR="00512E53" w:rsidRPr="00D7282B" w:rsidRDefault="00512E53" w:rsidP="00480129">
      <w:pPr>
        <w:autoSpaceDE w:val="0"/>
        <w:autoSpaceDN w:val="0"/>
        <w:adjustRightInd w:val="0"/>
        <w:spacing w:after="0" w:line="240" w:lineRule="auto"/>
        <w:ind w:left="720" w:firstLine="0"/>
      </w:pPr>
    </w:p>
    <w:p w:rsidR="001F4B5E" w:rsidRPr="00D7282B" w:rsidRDefault="001F4B5E" w:rsidP="00480129">
      <w:pPr>
        <w:autoSpaceDE w:val="0"/>
        <w:autoSpaceDN w:val="0"/>
        <w:adjustRightInd w:val="0"/>
        <w:spacing w:after="0" w:line="240" w:lineRule="auto"/>
        <w:ind w:left="720" w:firstLine="0"/>
      </w:pPr>
      <w:r w:rsidRPr="00D7282B">
        <w:t>(B) The dollar amount required to be disclosed by paragraph (b)(1)</w:t>
      </w:r>
      <w:r w:rsidR="00177E97" w:rsidRPr="00D7282B">
        <w:rPr>
          <w:b/>
        </w:rPr>
        <w:t xml:space="preserve"> [14]</w:t>
      </w:r>
      <w:r w:rsidR="00177E97" w:rsidRPr="00D7282B">
        <w:t xml:space="preserve"> </w:t>
      </w:r>
      <w:r w:rsidRPr="00D7282B">
        <w:t>of this section shall</w:t>
      </w:r>
      <w:r w:rsidR="00512E53" w:rsidRPr="00D7282B">
        <w:t xml:space="preserve"> </w:t>
      </w:r>
      <w:r w:rsidRPr="00D7282B">
        <w:t>not be rounded, and if the amount is a whole number then the amount disclosed shall be</w:t>
      </w:r>
      <w:r w:rsidR="00512E53" w:rsidRPr="00D7282B">
        <w:t xml:space="preserve"> </w:t>
      </w:r>
      <w:r w:rsidRPr="00D7282B">
        <w:t>truncated at the decimal point.</w:t>
      </w:r>
    </w:p>
    <w:p w:rsidR="001E1E4E" w:rsidRPr="00D7282B" w:rsidRDefault="001E1E4E" w:rsidP="00480129">
      <w:pPr>
        <w:autoSpaceDE w:val="0"/>
        <w:autoSpaceDN w:val="0"/>
        <w:adjustRightInd w:val="0"/>
        <w:spacing w:after="0" w:line="240" w:lineRule="auto"/>
        <w:ind w:left="720" w:firstLine="0"/>
        <w:rPr>
          <w:highlight w:val="red"/>
        </w:rPr>
      </w:pPr>
    </w:p>
    <w:p w:rsidR="001F4B5E" w:rsidRPr="00D7282B" w:rsidRDefault="001F4B5E" w:rsidP="00480129">
      <w:pPr>
        <w:autoSpaceDE w:val="0"/>
        <w:autoSpaceDN w:val="0"/>
        <w:adjustRightInd w:val="0"/>
        <w:spacing w:after="0" w:line="240" w:lineRule="auto"/>
        <w:ind w:left="720" w:firstLine="0"/>
      </w:pPr>
      <w:r w:rsidRPr="00D7282B">
        <w:t>(C) The dollar amounts required to be disclosed by paragraph (c)(2)(iv)</w:t>
      </w:r>
      <w:r w:rsidRPr="00D7282B">
        <w:rPr>
          <w:b/>
        </w:rPr>
        <w:t xml:space="preserve"> </w:t>
      </w:r>
      <w:r w:rsidR="00177E97" w:rsidRPr="00D7282B">
        <w:rPr>
          <w:b/>
        </w:rPr>
        <w:t>[23]</w:t>
      </w:r>
      <w:r w:rsidR="00177E97" w:rsidRPr="00D7282B">
        <w:t xml:space="preserve"> </w:t>
      </w:r>
      <w:r w:rsidRPr="00D7282B">
        <w:t>of this section</w:t>
      </w:r>
      <w:r w:rsidR="00512E53" w:rsidRPr="00D7282B">
        <w:t xml:space="preserve"> </w:t>
      </w:r>
      <w:r w:rsidRPr="00D7282B">
        <w:t>shall be rounded to the nearest whole dollar, if any of the component amounts are required by</w:t>
      </w:r>
      <w:r w:rsidR="00512E53" w:rsidRPr="00D7282B">
        <w:t xml:space="preserve"> </w:t>
      </w:r>
      <w:r w:rsidRPr="00D7282B">
        <w:t>paragraph (o)(4)(i)(A)</w:t>
      </w:r>
      <w:r w:rsidRPr="00D7282B">
        <w:rPr>
          <w:b/>
        </w:rPr>
        <w:t xml:space="preserve"> </w:t>
      </w:r>
      <w:r w:rsidR="00177E97" w:rsidRPr="00D7282B">
        <w:rPr>
          <w:b/>
        </w:rPr>
        <w:t>[77]</w:t>
      </w:r>
      <w:r w:rsidR="00177E97" w:rsidRPr="00D7282B">
        <w:t xml:space="preserve"> </w:t>
      </w:r>
      <w:r w:rsidRPr="00D7282B">
        <w:t>of this section to be rounded to the nearest whole dollar.</w:t>
      </w:r>
    </w:p>
    <w:p w:rsidR="00512E53" w:rsidRPr="00D7282B" w:rsidRDefault="00512E53" w:rsidP="00512E53">
      <w:pPr>
        <w:autoSpaceDE w:val="0"/>
        <w:autoSpaceDN w:val="0"/>
        <w:adjustRightInd w:val="0"/>
        <w:spacing w:after="0" w:line="240" w:lineRule="auto"/>
        <w:ind w:firstLine="0"/>
      </w:pPr>
    </w:p>
    <w:p w:rsidR="001F4B5E" w:rsidRPr="00D7282B" w:rsidRDefault="001F4B5E" w:rsidP="00480129">
      <w:pPr>
        <w:autoSpaceDE w:val="0"/>
        <w:autoSpaceDN w:val="0"/>
        <w:adjustRightInd w:val="0"/>
        <w:spacing w:after="0" w:line="240" w:lineRule="auto"/>
        <w:ind w:left="360" w:firstLine="0"/>
      </w:pPr>
      <w:r w:rsidRPr="00D7282B">
        <w:t xml:space="preserve">(ii) </w:t>
      </w:r>
      <w:r w:rsidRPr="00B05586">
        <w:rPr>
          <w:b/>
          <w:iCs/>
        </w:rPr>
        <w:t>Percentages</w:t>
      </w:r>
      <w:r w:rsidRPr="00B05586">
        <w:rPr>
          <w:b/>
        </w:rPr>
        <w:t>.</w:t>
      </w:r>
      <w:r w:rsidRPr="00D7282B">
        <w:t xml:space="preserve"> The percentage amounts required to be disclosed under paragraphs</w:t>
      </w:r>
      <w:r w:rsidR="00512E53" w:rsidRPr="00D7282B">
        <w:t xml:space="preserve"> </w:t>
      </w:r>
      <w:r w:rsidRPr="00D7282B">
        <w:t>(b)(2) and (6)</w:t>
      </w:r>
      <w:r w:rsidR="00177E97" w:rsidRPr="00D7282B">
        <w:t xml:space="preserve"> </w:t>
      </w:r>
      <w:r w:rsidR="00177E97" w:rsidRPr="00D7282B">
        <w:rPr>
          <w:b/>
        </w:rPr>
        <w:t>[15 and 19]</w:t>
      </w:r>
      <w:r w:rsidRPr="00D7282B">
        <w:rPr>
          <w:b/>
        </w:rPr>
        <w:t>,</w:t>
      </w:r>
      <w:r w:rsidRPr="00D7282B">
        <w:t xml:space="preserve"> (f)(1)(i)</w:t>
      </w:r>
      <w:r w:rsidR="00177E97" w:rsidRPr="00D7282B">
        <w:t xml:space="preserve"> </w:t>
      </w:r>
      <w:r w:rsidR="00177E97" w:rsidRPr="00D7282B">
        <w:rPr>
          <w:b/>
        </w:rPr>
        <w:t>[30]</w:t>
      </w:r>
      <w:r w:rsidRPr="00D7282B">
        <w:rPr>
          <w:b/>
        </w:rPr>
        <w:t>,</w:t>
      </w:r>
      <w:r w:rsidRPr="00D7282B">
        <w:t xml:space="preserve"> (g)(2)(iii)</w:t>
      </w:r>
      <w:r w:rsidR="00177E97" w:rsidRPr="00D7282B">
        <w:t xml:space="preserve"> </w:t>
      </w:r>
      <w:r w:rsidR="00177E97" w:rsidRPr="00D7282B">
        <w:rPr>
          <w:b/>
        </w:rPr>
        <w:t>[37]</w:t>
      </w:r>
      <w:r w:rsidRPr="00D7282B">
        <w:t>, (j)</w:t>
      </w:r>
      <w:r w:rsidR="00E63DC9" w:rsidRPr="00D7282B">
        <w:t xml:space="preserve"> </w:t>
      </w:r>
      <w:r w:rsidR="00E63DC9" w:rsidRPr="00D7282B">
        <w:rPr>
          <w:b/>
        </w:rPr>
        <w:t>[see manual Section 11]</w:t>
      </w:r>
      <w:r w:rsidRPr="00D7282B">
        <w:rPr>
          <w:b/>
        </w:rPr>
        <w:t>,</w:t>
      </w:r>
      <w:r w:rsidRPr="00D7282B">
        <w:t xml:space="preserve"> and (l)(3)</w:t>
      </w:r>
      <w:r w:rsidRPr="00D7282B">
        <w:rPr>
          <w:b/>
        </w:rPr>
        <w:t xml:space="preserve"> </w:t>
      </w:r>
      <w:r w:rsidR="00E63DC9" w:rsidRPr="00D7282B">
        <w:rPr>
          <w:b/>
        </w:rPr>
        <w:t>[64]</w:t>
      </w:r>
      <w:r w:rsidR="00E63DC9" w:rsidRPr="00D7282B">
        <w:t xml:space="preserve"> </w:t>
      </w:r>
      <w:r w:rsidRPr="00D7282B">
        <w:t>of this section shall not be rounded and shall be</w:t>
      </w:r>
      <w:r w:rsidR="00512E53" w:rsidRPr="00D7282B">
        <w:t xml:space="preserve"> </w:t>
      </w:r>
      <w:r w:rsidRPr="00D7282B">
        <w:t>disclosed up to two or three decimal places. The percentage amount required to be disclosed</w:t>
      </w:r>
      <w:r w:rsidR="00512E53" w:rsidRPr="00D7282B">
        <w:t xml:space="preserve"> </w:t>
      </w:r>
      <w:r w:rsidRPr="00D7282B">
        <w:t>under paragraph (l)(2)</w:t>
      </w:r>
      <w:r w:rsidRPr="00D7282B">
        <w:rPr>
          <w:b/>
        </w:rPr>
        <w:t xml:space="preserve"> </w:t>
      </w:r>
      <w:r w:rsidR="00E63DC9" w:rsidRPr="00D7282B">
        <w:rPr>
          <w:b/>
        </w:rPr>
        <w:t>[63]</w:t>
      </w:r>
      <w:r w:rsidR="00E63DC9" w:rsidRPr="00D7282B">
        <w:t xml:space="preserve"> </w:t>
      </w:r>
      <w:r w:rsidRPr="00D7282B">
        <w:t>of this section shall</w:t>
      </w:r>
      <w:r w:rsidRPr="00D7282B">
        <w:lastRenderedPageBreak/>
        <w:t xml:space="preserve"> be disclosed up to three decimal places. If the amount</w:t>
      </w:r>
      <w:r w:rsidR="00512E53" w:rsidRPr="00D7282B">
        <w:t xml:space="preserve"> </w:t>
      </w:r>
      <w:r w:rsidRPr="00D7282B">
        <w:t>is a whole number then the amount disclosed shall be truncated at the decimal point.</w:t>
      </w:r>
    </w:p>
    <w:p w:rsidR="00512E53" w:rsidRPr="00D7282B" w:rsidRDefault="00512E53" w:rsidP="00512E53">
      <w:pPr>
        <w:autoSpaceDE w:val="0"/>
        <w:autoSpaceDN w:val="0"/>
        <w:adjustRightInd w:val="0"/>
        <w:spacing w:after="0" w:line="240" w:lineRule="auto"/>
        <w:ind w:firstLine="0"/>
      </w:pPr>
    </w:p>
    <w:p w:rsidR="001E1E4E" w:rsidRPr="00D7282B" w:rsidRDefault="001E1E4E" w:rsidP="00512E53">
      <w:pPr>
        <w:autoSpaceDE w:val="0"/>
        <w:autoSpaceDN w:val="0"/>
        <w:adjustRightInd w:val="0"/>
        <w:spacing w:after="0" w:line="240" w:lineRule="auto"/>
        <w:ind w:firstLine="0"/>
      </w:pPr>
    </w:p>
    <w:p w:rsidR="009773E5" w:rsidRPr="007E4BF6" w:rsidRDefault="00480129" w:rsidP="007E4BF6">
      <w:pPr>
        <w:pStyle w:val="Heading3"/>
      </w:pPr>
      <w:r w:rsidRPr="00DD5441">
        <w:t>Regulat</w:t>
      </w:r>
      <w:r>
        <w:t xml:space="preserve">ory </w:t>
      </w:r>
      <w:r w:rsidR="007E4BF6">
        <w:t>Commentary</w:t>
      </w:r>
    </w:p>
    <w:p w:rsidR="00F96617" w:rsidRDefault="00F96617" w:rsidP="007E4BF6">
      <w:pPr>
        <w:autoSpaceDE w:val="0"/>
        <w:autoSpaceDN w:val="0"/>
        <w:adjustRightInd w:val="0"/>
        <w:spacing w:after="0" w:line="240" w:lineRule="auto"/>
        <w:ind w:firstLine="0"/>
      </w:pPr>
    </w:p>
    <w:p w:rsidR="009773E5" w:rsidRPr="00B05586" w:rsidRDefault="009773E5" w:rsidP="007E4BF6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1. </w:t>
      </w:r>
      <w:r w:rsidRPr="00B05586">
        <w:rPr>
          <w:b/>
          <w:i/>
          <w:iCs/>
        </w:rPr>
        <w:t>Rounding.</w:t>
      </w:r>
      <w:r w:rsidRPr="00B05586">
        <w:rPr>
          <w:i/>
          <w:iCs/>
        </w:rPr>
        <w:t xml:space="preserve"> </w:t>
      </w:r>
      <w:r w:rsidRPr="00B05586">
        <w:rPr>
          <w:i/>
        </w:rPr>
        <w:t>Consistent with § 1026.2(b)(4), except as otherwise provided in</w:t>
      </w:r>
      <w:r w:rsidR="007E4BF6" w:rsidRPr="00B05586">
        <w:rPr>
          <w:i/>
        </w:rPr>
        <w:t xml:space="preserve"> </w:t>
      </w:r>
      <w:r w:rsidRPr="00B05586">
        <w:rPr>
          <w:i/>
        </w:rPr>
        <w:t>§ 1026.37(o)(4)</w:t>
      </w:r>
      <w:r w:rsidR="007E4BF6" w:rsidRPr="00B05586">
        <w:rPr>
          <w:i/>
        </w:rPr>
        <w:t xml:space="preserve"> </w:t>
      </w:r>
      <w:r w:rsidR="007E4BF6" w:rsidRPr="00B05586">
        <w:rPr>
          <w:b/>
          <w:i/>
        </w:rPr>
        <w:t>[7</w:t>
      </w:r>
      <w:r w:rsidR="007C7A6B" w:rsidRPr="00B05586">
        <w:rPr>
          <w:b/>
          <w:i/>
        </w:rPr>
        <w:t>7</w:t>
      </w:r>
      <w:r w:rsidR="007E4BF6" w:rsidRPr="00B05586">
        <w:rPr>
          <w:b/>
          <w:i/>
        </w:rPr>
        <w:t>]</w:t>
      </w:r>
      <w:r w:rsidRPr="00B05586">
        <w:rPr>
          <w:b/>
          <w:i/>
        </w:rPr>
        <w:t>,</w:t>
      </w:r>
      <w:r w:rsidRPr="00B05586">
        <w:rPr>
          <w:i/>
        </w:rPr>
        <w:t xml:space="preserve"> any amount required to be disclosed by § 1026.37 </w:t>
      </w:r>
      <w:r w:rsidR="007E4BF6" w:rsidRPr="00B05586">
        <w:rPr>
          <w:b/>
          <w:i/>
        </w:rPr>
        <w:t>[the Loan Estimate]</w:t>
      </w:r>
      <w:r w:rsidR="007E4BF6" w:rsidRPr="00B05586">
        <w:rPr>
          <w:i/>
        </w:rPr>
        <w:t xml:space="preserve"> </w:t>
      </w:r>
      <w:r w:rsidRPr="00B05586">
        <w:rPr>
          <w:i/>
        </w:rPr>
        <w:t>is not permitted to be</w:t>
      </w:r>
      <w:r w:rsidR="007E4BF6" w:rsidRPr="00B05586">
        <w:rPr>
          <w:i/>
        </w:rPr>
        <w:t xml:space="preserve"> </w:t>
      </w:r>
      <w:r w:rsidRPr="00B05586">
        <w:rPr>
          <w:i/>
        </w:rPr>
        <w:t>rounded and is disclosed using decimal places where applicable, unless otherwise provided.</w:t>
      </w:r>
    </w:p>
    <w:p w:rsidR="007E4BF6" w:rsidRPr="00D7282B" w:rsidRDefault="007E4BF6" w:rsidP="007E4BF6">
      <w:pPr>
        <w:autoSpaceDE w:val="0"/>
        <w:autoSpaceDN w:val="0"/>
        <w:adjustRightInd w:val="0"/>
        <w:spacing w:after="0" w:line="240" w:lineRule="auto"/>
        <w:ind w:firstLine="0"/>
      </w:pPr>
    </w:p>
    <w:p w:rsidR="006C62BE" w:rsidRDefault="006C62BE">
      <w:pPr>
        <w:widowControl/>
        <w:suppressAutoHyphens w:val="0"/>
        <w:spacing w:after="0" w:line="240" w:lineRule="auto"/>
        <w:ind w:firstLine="0"/>
        <w:jc w:val="left"/>
      </w:pPr>
      <w:r>
        <w:br w:type="page"/>
      </w:r>
    </w:p>
    <w:p w:rsidR="009773E5" w:rsidRPr="00B05586" w:rsidRDefault="009773E5" w:rsidP="001C1AA8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lastRenderedPageBreak/>
        <w:t xml:space="preserve">2. </w:t>
      </w:r>
      <w:r w:rsidRPr="00B05586">
        <w:rPr>
          <w:b/>
          <w:i/>
          <w:iCs/>
        </w:rPr>
        <w:t>Calculations</w:t>
      </w:r>
      <w:r w:rsidRPr="00B05586">
        <w:rPr>
          <w:b/>
          <w:i/>
        </w:rPr>
        <w:t>.</w:t>
      </w:r>
      <w:r w:rsidRPr="00B05586">
        <w:rPr>
          <w:i/>
        </w:rPr>
        <w:t xml:space="preserve"> If a dollar amount that is required to be rounded by § 1026.37(o)(4)(i)</w:t>
      </w:r>
      <w:r w:rsidR="007E4BF6" w:rsidRPr="00B05586">
        <w:rPr>
          <w:i/>
        </w:rPr>
        <w:t xml:space="preserve"> </w:t>
      </w:r>
      <w:r w:rsidR="007E4BF6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7E4BF6" w:rsidRPr="00B05586">
        <w:rPr>
          <w:b/>
          <w:i/>
        </w:rPr>
        <w:t xml:space="preserve">] </w:t>
      </w:r>
      <w:r w:rsidRPr="00B05586">
        <w:rPr>
          <w:i/>
        </w:rPr>
        <w:t>on the Loan Estimate is a total of one or more dollar amounts that are not required or permitted</w:t>
      </w:r>
      <w:r w:rsidR="007E4BF6" w:rsidRPr="00B05586">
        <w:rPr>
          <w:i/>
        </w:rPr>
        <w:t xml:space="preserve"> </w:t>
      </w:r>
      <w:r w:rsidRPr="00B05586">
        <w:rPr>
          <w:i/>
        </w:rPr>
        <w:t>to be rounded, the total amount must be rounded consistent with § 1026.37(o)(4)(i)</w:t>
      </w:r>
      <w:r w:rsidR="007E4BF6" w:rsidRPr="00B05586">
        <w:rPr>
          <w:i/>
        </w:rPr>
        <w:t xml:space="preserve"> </w:t>
      </w:r>
      <w:r w:rsidR="007E4BF6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7E4BF6" w:rsidRPr="00B05586">
        <w:rPr>
          <w:b/>
          <w:i/>
        </w:rPr>
        <w:t>]</w:t>
      </w:r>
      <w:r w:rsidRPr="00B05586">
        <w:rPr>
          <w:b/>
          <w:i/>
        </w:rPr>
        <w:t>,</w:t>
      </w:r>
      <w:r w:rsidRPr="00B05586">
        <w:rPr>
          <w:i/>
        </w:rPr>
        <w:t xml:space="preserve"> but such</w:t>
      </w:r>
      <w:r w:rsidR="007E4BF6" w:rsidRPr="00B05586">
        <w:rPr>
          <w:i/>
        </w:rPr>
        <w:t xml:space="preserve"> </w:t>
      </w:r>
      <w:r w:rsidRPr="00B05586">
        <w:rPr>
          <w:i/>
        </w:rPr>
        <w:t>component amounts used in the calculation must use such unrounded numbers. In addition, if</w:t>
      </w:r>
      <w:r w:rsidR="007E4BF6" w:rsidRPr="00B05586">
        <w:rPr>
          <w:i/>
        </w:rPr>
        <w:t xml:space="preserve"> </w:t>
      </w:r>
      <w:r w:rsidRPr="00B05586">
        <w:rPr>
          <w:i/>
        </w:rPr>
        <w:t>any such unrounded component amount is required to be disclosed under § 1026.37</w:t>
      </w:r>
      <w:r w:rsidR="007E4BF6" w:rsidRPr="00B05586">
        <w:rPr>
          <w:b/>
          <w:i/>
        </w:rPr>
        <w:t xml:space="preserve"> [the Loan Estimate]</w:t>
      </w:r>
      <w:r w:rsidRPr="00B05586">
        <w:rPr>
          <w:b/>
          <w:i/>
        </w:rPr>
        <w:t>,</w:t>
      </w:r>
      <w:r w:rsidRPr="00B05586">
        <w:rPr>
          <w:i/>
        </w:rPr>
        <w:t xml:space="preserve"> consistent</w:t>
      </w:r>
      <w:r w:rsidR="007E4BF6" w:rsidRPr="00B05586">
        <w:rPr>
          <w:i/>
        </w:rPr>
        <w:t xml:space="preserve"> </w:t>
      </w:r>
      <w:r w:rsidRPr="00B05586">
        <w:rPr>
          <w:i/>
        </w:rPr>
        <w:t>with § 1026.2(b)(4), it should be disclosed as an unrounded number. If an amount that is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required to be rounded by § 1026.37(o)(4)(i) </w:t>
      </w:r>
      <w:r w:rsidR="007E4BF6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7E4BF6" w:rsidRPr="00B05586">
        <w:rPr>
          <w:b/>
          <w:i/>
        </w:rPr>
        <w:t xml:space="preserve">] </w:t>
      </w:r>
      <w:r w:rsidRPr="00B05586">
        <w:rPr>
          <w:i/>
        </w:rPr>
        <w:t>on the Loan Estimate is a total of one or more</w:t>
      </w:r>
      <w:r w:rsidR="007E4BF6" w:rsidRPr="00B05586">
        <w:rPr>
          <w:i/>
        </w:rPr>
        <w:t xml:space="preserve"> </w:t>
      </w:r>
      <w:r w:rsidRPr="00B05586">
        <w:rPr>
          <w:i/>
        </w:rPr>
        <w:t>components that are also required to be rounded by § 1026.37(o)(4)(i)</w:t>
      </w:r>
      <w:r w:rsidR="007E4BF6" w:rsidRPr="00B05586">
        <w:rPr>
          <w:i/>
        </w:rPr>
        <w:t xml:space="preserve"> </w:t>
      </w:r>
      <w:r w:rsidR="007E4BF6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7E4BF6" w:rsidRPr="00B05586">
        <w:rPr>
          <w:b/>
          <w:i/>
        </w:rPr>
        <w:t>]</w:t>
      </w:r>
      <w:r w:rsidRPr="00B05586">
        <w:rPr>
          <w:b/>
          <w:i/>
        </w:rPr>
        <w:t>,</w:t>
      </w:r>
      <w:r w:rsidRPr="00B05586">
        <w:rPr>
          <w:i/>
        </w:rPr>
        <w:t xml:space="preserve"> the total amount must be</w:t>
      </w:r>
      <w:r w:rsidR="007E4BF6" w:rsidRPr="00B05586">
        <w:rPr>
          <w:i/>
        </w:rPr>
        <w:t xml:space="preserve"> </w:t>
      </w:r>
      <w:r w:rsidRPr="00B05586">
        <w:rPr>
          <w:i/>
        </w:rPr>
        <w:t>calculated using such rounded amounts. For example, the subtotals required to be disclosed by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§ 1026.37(f)(1), (2), and (3) </w:t>
      </w:r>
      <w:r w:rsidR="007E4BF6" w:rsidRPr="00B05586">
        <w:rPr>
          <w:b/>
          <w:i/>
        </w:rPr>
        <w:t xml:space="preserve">[30 </w:t>
      </w:r>
      <w:r w:rsidR="007E4BF6" w:rsidRPr="00B05586">
        <w:rPr>
          <w:b/>
          <w:i/>
        </w:rPr>
        <w:lastRenderedPageBreak/>
        <w:t>through 32]</w:t>
      </w:r>
      <w:r w:rsidR="007E4BF6" w:rsidRPr="00B05586">
        <w:rPr>
          <w:i/>
        </w:rPr>
        <w:t xml:space="preserve"> </w:t>
      </w:r>
      <w:r w:rsidRPr="00B05586">
        <w:rPr>
          <w:i/>
        </w:rPr>
        <w:t>are calculated using the rounded amounts disclosed under those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subsections. </w:t>
      </w:r>
      <w:r w:rsidRPr="00B05586">
        <w:rPr>
          <w:i/>
          <w:iCs/>
        </w:rPr>
        <w:t xml:space="preserve">See also </w:t>
      </w:r>
      <w:r w:rsidRPr="00B05586">
        <w:rPr>
          <w:i/>
        </w:rPr>
        <w:t>comment 37(o)(4)(i)(C)-1</w:t>
      </w:r>
      <w:r w:rsidR="007E4BF6" w:rsidRPr="00B05586">
        <w:rPr>
          <w:i/>
        </w:rPr>
        <w:t xml:space="preserve"> </w:t>
      </w:r>
      <w:r w:rsidR="007E4BF6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7E4BF6" w:rsidRPr="00B05586">
        <w:rPr>
          <w:b/>
          <w:i/>
        </w:rPr>
        <w:t>]</w:t>
      </w:r>
      <w:r w:rsidRPr="00B05586">
        <w:rPr>
          <w:b/>
          <w:i/>
        </w:rPr>
        <w:t>.</w:t>
      </w:r>
      <w:r w:rsidRPr="00B05586">
        <w:rPr>
          <w:i/>
        </w:rPr>
        <w:t xml:space="preserve"> However, the amounts required to be disclosed</w:t>
      </w:r>
      <w:r w:rsidR="007E4BF6" w:rsidRPr="00B05586">
        <w:rPr>
          <w:i/>
        </w:rPr>
        <w:t xml:space="preserve"> </w:t>
      </w:r>
      <w:r w:rsidRPr="00B05586">
        <w:rPr>
          <w:i/>
        </w:rPr>
        <w:t>by § 1026.37(l)</w:t>
      </w:r>
      <w:r w:rsidR="007E4BF6" w:rsidRPr="00B05586">
        <w:rPr>
          <w:i/>
        </w:rPr>
        <w:t xml:space="preserve"> </w:t>
      </w:r>
      <w:r w:rsidR="007E4BF6" w:rsidRPr="00B05586">
        <w:rPr>
          <w:b/>
          <w:i/>
        </w:rPr>
        <w:t>[see manual Section 11]</w:t>
      </w:r>
      <w:r w:rsidRPr="00B05586">
        <w:rPr>
          <w:i/>
        </w:rPr>
        <w:t xml:space="preserve"> reference actual amounts for their components, rather than other amounts</w:t>
      </w:r>
      <w:r w:rsidR="007E4BF6" w:rsidRPr="00B05586">
        <w:rPr>
          <w:i/>
        </w:rPr>
        <w:t xml:space="preserve"> </w:t>
      </w:r>
      <w:r w:rsidRPr="00B05586">
        <w:rPr>
          <w:i/>
        </w:rPr>
        <w:t xml:space="preserve">disclosed under § 1026.37 </w:t>
      </w:r>
      <w:r w:rsidR="001C1AA8" w:rsidRPr="00B05586">
        <w:rPr>
          <w:b/>
          <w:i/>
        </w:rPr>
        <w:t>[the Loan Estimate]</w:t>
      </w:r>
      <w:r w:rsidR="001C1AA8" w:rsidRPr="00B05586">
        <w:rPr>
          <w:i/>
        </w:rPr>
        <w:t xml:space="preserve"> </w:t>
      </w:r>
      <w:r w:rsidRPr="00B05586">
        <w:rPr>
          <w:i/>
        </w:rPr>
        <w:t>and rounded pursuant to § 1026.37(o)(4)(i)</w:t>
      </w:r>
      <w:r w:rsidR="001C1AA8" w:rsidRPr="00B05586">
        <w:rPr>
          <w:i/>
        </w:rPr>
        <w:t xml:space="preserve"> </w:t>
      </w:r>
      <w:r w:rsidR="001C1AA8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1C1AA8" w:rsidRPr="00B05586">
        <w:rPr>
          <w:b/>
          <w:i/>
        </w:rPr>
        <w:t>]</w:t>
      </w:r>
      <w:r w:rsidRPr="00B05586">
        <w:rPr>
          <w:b/>
          <w:i/>
        </w:rPr>
        <w:t>,</w:t>
      </w:r>
      <w:r w:rsidRPr="00B05586">
        <w:rPr>
          <w:i/>
        </w:rPr>
        <w:t xml:space="preserve"> and thus, they are</w:t>
      </w:r>
      <w:r w:rsidR="001C1AA8" w:rsidRPr="00B05586">
        <w:rPr>
          <w:i/>
        </w:rPr>
        <w:t xml:space="preserve"> cal</w:t>
      </w:r>
      <w:r w:rsidRPr="00B05586">
        <w:rPr>
          <w:i/>
        </w:rPr>
        <w:t>culated using unrounded numbers.</w:t>
      </w:r>
    </w:p>
    <w:p w:rsidR="001C1AA8" w:rsidRPr="00B05586" w:rsidRDefault="001C1AA8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</w:p>
    <w:p w:rsidR="00480129" w:rsidRPr="00B05586" w:rsidRDefault="00480129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i/>
          <w:iCs/>
          <w:sz w:val="24"/>
          <w:szCs w:val="24"/>
        </w:rPr>
      </w:pPr>
    </w:p>
    <w:p w:rsidR="009773E5" w:rsidRPr="00B05586" w:rsidRDefault="009773E5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i/>
          <w:iCs/>
          <w:sz w:val="24"/>
          <w:szCs w:val="24"/>
        </w:rPr>
      </w:pPr>
      <w:r w:rsidRPr="00B05586">
        <w:rPr>
          <w:rFonts w:ascii="Times New Roman" w:hAnsi="Times New Roman"/>
          <w:b/>
          <w:i/>
          <w:iCs/>
          <w:sz w:val="24"/>
          <w:szCs w:val="24"/>
        </w:rPr>
        <w:t>Paragraph 37(o)(4)(i)(A).</w:t>
      </w:r>
    </w:p>
    <w:p w:rsidR="00F96617" w:rsidRPr="00B05586" w:rsidRDefault="00F96617" w:rsidP="001C1AA8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9773E5" w:rsidRPr="00B05586" w:rsidRDefault="009773E5" w:rsidP="001C1AA8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1. </w:t>
      </w:r>
      <w:r w:rsidRPr="00B05586">
        <w:rPr>
          <w:b/>
          <w:i/>
          <w:iCs/>
        </w:rPr>
        <w:t>Rounding of dollar amounts.</w:t>
      </w:r>
      <w:r w:rsidRPr="00B05586">
        <w:rPr>
          <w:i/>
          <w:iCs/>
        </w:rPr>
        <w:t xml:space="preserve"> </w:t>
      </w:r>
      <w:r w:rsidRPr="00B05586">
        <w:rPr>
          <w:i/>
        </w:rPr>
        <w:t>Section 1026.37(o)(4)(i)(A)</w:t>
      </w:r>
      <w:r w:rsidRPr="00B05586">
        <w:rPr>
          <w:b/>
          <w:i/>
        </w:rPr>
        <w:t xml:space="preserve"> </w:t>
      </w:r>
      <w:r w:rsidR="001C1AA8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1C1AA8" w:rsidRPr="00B05586">
        <w:rPr>
          <w:b/>
          <w:i/>
        </w:rPr>
        <w:t>]</w:t>
      </w:r>
      <w:r w:rsidR="001C1AA8" w:rsidRPr="00B05586">
        <w:rPr>
          <w:i/>
        </w:rPr>
        <w:t xml:space="preserve"> </w:t>
      </w:r>
      <w:r w:rsidRPr="00B05586">
        <w:rPr>
          <w:i/>
        </w:rPr>
        <w:t>requires that certain dollar</w:t>
      </w:r>
      <w:r w:rsidR="001C1AA8" w:rsidRPr="00B05586">
        <w:rPr>
          <w:i/>
        </w:rPr>
        <w:t xml:space="preserve"> </w:t>
      </w:r>
      <w:r w:rsidRPr="00B05586">
        <w:rPr>
          <w:i/>
        </w:rPr>
        <w:t>amounts be rounded to the nearest whole dollar. For example, pursuant to § 1026.37(o)(4)(i)(A)</w:t>
      </w:r>
      <w:r w:rsidR="001C1AA8" w:rsidRPr="00B05586">
        <w:rPr>
          <w:i/>
        </w:rPr>
        <w:t xml:space="preserve"> </w:t>
      </w:r>
      <w:r w:rsidR="001C1AA8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1C1AA8" w:rsidRPr="00B05586">
        <w:rPr>
          <w:b/>
          <w:i/>
        </w:rPr>
        <w:t>]</w:t>
      </w:r>
      <w:r w:rsidRPr="00B05586">
        <w:rPr>
          <w:b/>
          <w:i/>
        </w:rPr>
        <w:t>,</w:t>
      </w:r>
      <w:r w:rsidR="001C1AA8" w:rsidRPr="00B05586">
        <w:rPr>
          <w:b/>
          <w:i/>
        </w:rPr>
        <w:t xml:space="preserve"> </w:t>
      </w:r>
      <w:r w:rsidRPr="00B05586">
        <w:rPr>
          <w:i/>
        </w:rPr>
        <w:t>periodic mortgage insurance payments of $164.50 are required to be disclosed under</w:t>
      </w:r>
      <w:r w:rsidR="001C1AA8" w:rsidRPr="00B05586">
        <w:rPr>
          <w:i/>
        </w:rPr>
        <w:t xml:space="preserve"> </w:t>
      </w:r>
      <w:r w:rsidRPr="00B05586">
        <w:rPr>
          <w:i/>
        </w:rPr>
        <w:t xml:space="preserve">§ 1026.37(c)(2)(ii) </w:t>
      </w:r>
      <w:r w:rsidR="001C1AA8" w:rsidRPr="00B05586">
        <w:rPr>
          <w:b/>
          <w:i/>
        </w:rPr>
        <w:t>[23]</w:t>
      </w:r>
      <w:r w:rsidR="001C1AA8" w:rsidRPr="00B05586">
        <w:rPr>
          <w:i/>
        </w:rPr>
        <w:t xml:space="preserve"> </w:t>
      </w:r>
      <w:r w:rsidRPr="00B05586">
        <w:rPr>
          <w:i/>
        </w:rPr>
        <w:t>as $165. However, if the periodic mortgage insurance payment equaled</w:t>
      </w:r>
      <w:r w:rsidR="001C1AA8" w:rsidRPr="00B05586">
        <w:rPr>
          <w:i/>
        </w:rPr>
        <w:t xml:space="preserve"> </w:t>
      </w:r>
      <w:r w:rsidRPr="00B05586">
        <w:rPr>
          <w:i/>
        </w:rPr>
        <w:t>$164.49, the creditor would disclose $164.</w:t>
      </w:r>
    </w:p>
    <w:p w:rsidR="001C1AA8" w:rsidRPr="00B05586" w:rsidRDefault="001C1AA8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</w:p>
    <w:p w:rsidR="00480129" w:rsidRPr="00B05586" w:rsidRDefault="00480129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i/>
          <w:iCs/>
          <w:sz w:val="24"/>
          <w:szCs w:val="24"/>
        </w:rPr>
      </w:pPr>
    </w:p>
    <w:p w:rsidR="009773E5" w:rsidRPr="00B05586" w:rsidRDefault="009773E5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i/>
          <w:iCs/>
          <w:sz w:val="24"/>
          <w:szCs w:val="24"/>
        </w:rPr>
      </w:pPr>
      <w:r w:rsidRPr="00B05586">
        <w:rPr>
          <w:rFonts w:ascii="Times New Roman" w:hAnsi="Times New Roman"/>
          <w:b/>
          <w:i/>
          <w:iCs/>
          <w:sz w:val="24"/>
          <w:szCs w:val="24"/>
        </w:rPr>
        <w:t>Paragraph 37(o)(4)(i)(B).</w:t>
      </w:r>
    </w:p>
    <w:p w:rsidR="00F96617" w:rsidRPr="00B05586" w:rsidRDefault="00F96617" w:rsidP="001C1AA8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9773E5" w:rsidRPr="00B05586" w:rsidRDefault="009773E5" w:rsidP="001C1AA8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1. </w:t>
      </w:r>
      <w:r w:rsidRPr="00B05586">
        <w:rPr>
          <w:b/>
          <w:i/>
          <w:iCs/>
        </w:rPr>
        <w:t>Rounding of loan amount.</w:t>
      </w:r>
      <w:r w:rsidRPr="00B05586">
        <w:rPr>
          <w:i/>
          <w:iCs/>
        </w:rPr>
        <w:t xml:space="preserve"> </w:t>
      </w:r>
      <w:r w:rsidRPr="00B05586">
        <w:rPr>
          <w:i/>
        </w:rPr>
        <w:t xml:space="preserve">Section 1026.37(o)(4)(i)(B) </w:t>
      </w:r>
      <w:r w:rsidR="001C1AA8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1C1AA8" w:rsidRPr="00B05586">
        <w:rPr>
          <w:b/>
          <w:i/>
        </w:rPr>
        <w:t>]</w:t>
      </w:r>
      <w:r w:rsidR="001C1AA8" w:rsidRPr="00B05586">
        <w:rPr>
          <w:i/>
        </w:rPr>
        <w:t xml:space="preserve"> </w:t>
      </w:r>
      <w:r w:rsidRPr="00B05586">
        <w:rPr>
          <w:i/>
        </w:rPr>
        <w:t>requires the loan amount to be</w:t>
      </w:r>
      <w:r w:rsidR="001C1AA8" w:rsidRPr="00B05586">
        <w:rPr>
          <w:i/>
        </w:rPr>
        <w:t xml:space="preserve"> </w:t>
      </w:r>
      <w:r w:rsidRPr="00B05586">
        <w:rPr>
          <w:i/>
        </w:rPr>
        <w:t>disclosed truncated at the decimal place if the loan amount is a whole number. For example, if</w:t>
      </w:r>
      <w:r w:rsidR="001C1AA8" w:rsidRPr="00B05586">
        <w:rPr>
          <w:i/>
        </w:rPr>
        <w:t xml:space="preserve"> </w:t>
      </w:r>
      <w:r w:rsidRPr="00B05586">
        <w:rPr>
          <w:i/>
        </w:rPr>
        <w:t>§ 1026.37(b)(1)</w:t>
      </w:r>
      <w:r w:rsidR="001C1AA8" w:rsidRPr="00B05586">
        <w:rPr>
          <w:i/>
        </w:rPr>
        <w:t xml:space="preserve"> </w:t>
      </w:r>
      <w:r w:rsidR="001C1AA8" w:rsidRPr="00B05586">
        <w:rPr>
          <w:b/>
          <w:i/>
        </w:rPr>
        <w:t>[14]</w:t>
      </w:r>
      <w:r w:rsidRPr="00B05586">
        <w:rPr>
          <w:i/>
        </w:rPr>
        <w:t xml:space="preserve"> requires disclosure of a loan amount of $481,516.23, the creditor discloses the</w:t>
      </w:r>
      <w:r w:rsidR="001C1AA8" w:rsidRPr="00B05586">
        <w:rPr>
          <w:i/>
        </w:rPr>
        <w:t xml:space="preserve"> </w:t>
      </w:r>
      <w:r w:rsidRPr="00B05586">
        <w:rPr>
          <w:i/>
        </w:rPr>
        <w:t>amount as $481,516.23. However, if the loan amount required to be disclosed were</w:t>
      </w:r>
      <w:r w:rsidR="001C1AA8" w:rsidRPr="00B05586">
        <w:rPr>
          <w:i/>
        </w:rPr>
        <w:t xml:space="preserve"> </w:t>
      </w:r>
      <w:r w:rsidRPr="00B05586">
        <w:rPr>
          <w:i/>
        </w:rPr>
        <w:t>$481,516.00, the creditor would disclose $481,516.</w:t>
      </w:r>
    </w:p>
    <w:p w:rsidR="001C1AA8" w:rsidRPr="00B05586" w:rsidRDefault="001C1AA8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480129" w:rsidRPr="00B05586" w:rsidRDefault="00480129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i/>
          <w:iCs/>
          <w:sz w:val="24"/>
          <w:szCs w:val="24"/>
        </w:rPr>
      </w:pPr>
    </w:p>
    <w:p w:rsidR="009773E5" w:rsidRPr="00B05586" w:rsidRDefault="009773E5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i/>
          <w:iCs/>
          <w:sz w:val="24"/>
          <w:szCs w:val="24"/>
        </w:rPr>
      </w:pPr>
      <w:r w:rsidRPr="00B05586">
        <w:rPr>
          <w:rFonts w:ascii="Times New Roman" w:hAnsi="Times New Roman"/>
          <w:b/>
          <w:i/>
          <w:iCs/>
          <w:sz w:val="24"/>
          <w:szCs w:val="24"/>
        </w:rPr>
        <w:t>Paragraph 37(o)(4)(i)(C).</w:t>
      </w:r>
    </w:p>
    <w:p w:rsidR="00F96617" w:rsidRPr="00B05586" w:rsidRDefault="00F96617" w:rsidP="001C1AA8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9773E5" w:rsidRPr="00B05586" w:rsidRDefault="009773E5" w:rsidP="001C1AA8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1. </w:t>
      </w:r>
      <w:r w:rsidRPr="00B05586">
        <w:rPr>
          <w:b/>
          <w:i/>
          <w:iCs/>
        </w:rPr>
        <w:t>Rounding of the total monthly payment.</w:t>
      </w:r>
      <w:r w:rsidRPr="00B05586">
        <w:rPr>
          <w:i/>
          <w:iCs/>
        </w:rPr>
        <w:t xml:space="preserve"> </w:t>
      </w:r>
      <w:r w:rsidRPr="00B05586">
        <w:rPr>
          <w:i/>
        </w:rPr>
        <w:t xml:space="preserve">Section 1026.37(o)(4)(i)(C) </w:t>
      </w:r>
      <w:r w:rsidR="001C1AA8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1C1AA8" w:rsidRPr="00B05586">
        <w:rPr>
          <w:b/>
          <w:i/>
        </w:rPr>
        <w:t>]</w:t>
      </w:r>
      <w:r w:rsidR="001C1AA8" w:rsidRPr="00B05586">
        <w:rPr>
          <w:i/>
        </w:rPr>
        <w:t xml:space="preserve"> </w:t>
      </w:r>
      <w:r w:rsidRPr="00B05586">
        <w:rPr>
          <w:i/>
        </w:rPr>
        <w:t>requires the total</w:t>
      </w:r>
      <w:r w:rsidR="001C1AA8" w:rsidRPr="00B05586">
        <w:rPr>
          <w:i/>
        </w:rPr>
        <w:t xml:space="preserve"> </w:t>
      </w:r>
      <w:r w:rsidRPr="00B05586">
        <w:rPr>
          <w:i/>
        </w:rPr>
        <w:t xml:space="preserve">monthly payment amount disclosed under § 1026.37(c)(2)(iv) </w:t>
      </w:r>
      <w:r w:rsidR="001C1AA8" w:rsidRPr="00B05586">
        <w:rPr>
          <w:b/>
          <w:i/>
        </w:rPr>
        <w:t>[23]</w:t>
      </w:r>
      <w:r w:rsidR="001C1AA8" w:rsidRPr="00B05586">
        <w:rPr>
          <w:i/>
        </w:rPr>
        <w:t xml:space="preserve"> </w:t>
      </w:r>
      <w:r w:rsidRPr="00B05586">
        <w:rPr>
          <w:i/>
        </w:rPr>
        <w:t>to be rounded if any of its</w:t>
      </w:r>
      <w:r w:rsidR="001C1AA8" w:rsidRPr="00B05586">
        <w:rPr>
          <w:i/>
        </w:rPr>
        <w:t xml:space="preserve"> </w:t>
      </w:r>
      <w:r w:rsidRPr="00B05586">
        <w:rPr>
          <w:i/>
        </w:rPr>
        <w:t>components are rounded. For example, if the total monthly payment disclosed under</w:t>
      </w:r>
      <w:r w:rsidR="001C1AA8" w:rsidRPr="00B05586">
        <w:rPr>
          <w:i/>
        </w:rPr>
        <w:t xml:space="preserve"> </w:t>
      </w:r>
      <w:r w:rsidRPr="00B05586">
        <w:rPr>
          <w:i/>
        </w:rPr>
        <w:t>§ 1026.37(c)(2)(iv)</w:t>
      </w:r>
      <w:r w:rsidRPr="00B05586">
        <w:rPr>
          <w:b/>
          <w:i/>
        </w:rPr>
        <w:t xml:space="preserve"> </w:t>
      </w:r>
      <w:r w:rsidR="001C1AA8" w:rsidRPr="00B05586">
        <w:rPr>
          <w:b/>
          <w:i/>
        </w:rPr>
        <w:t>[23]</w:t>
      </w:r>
      <w:r w:rsidR="001C1AA8" w:rsidRPr="00B05586">
        <w:rPr>
          <w:i/>
        </w:rPr>
        <w:t xml:space="preserve"> </w:t>
      </w:r>
      <w:r w:rsidRPr="00B05586">
        <w:rPr>
          <w:i/>
        </w:rPr>
        <w:t>is composed of a $2,000.49 periodic principal and interest payment required</w:t>
      </w:r>
      <w:r w:rsidR="001C1AA8" w:rsidRPr="00B05586">
        <w:rPr>
          <w:i/>
        </w:rPr>
        <w:t xml:space="preserve"> </w:t>
      </w:r>
      <w:r w:rsidRPr="00B05586">
        <w:rPr>
          <w:i/>
        </w:rPr>
        <w:t xml:space="preserve">to be disclosed by § 1026.37(c)(2)(i) </w:t>
      </w:r>
      <w:r w:rsidR="001C1AA8" w:rsidRPr="00B05586">
        <w:rPr>
          <w:b/>
          <w:i/>
        </w:rPr>
        <w:t>[23]</w:t>
      </w:r>
      <w:r w:rsidR="001C1AA8" w:rsidRPr="00B05586">
        <w:rPr>
          <w:i/>
        </w:rPr>
        <w:t xml:space="preserve"> </w:t>
      </w:r>
      <w:r w:rsidRPr="00B05586">
        <w:rPr>
          <w:i/>
        </w:rPr>
        <w:t>and a $164.49 periodic mortgage i</w:t>
      </w:r>
      <w:r w:rsidRPr="00B05586">
        <w:rPr>
          <w:i/>
        </w:rPr>
        <w:lastRenderedPageBreak/>
        <w:t>nsurance payment</w:t>
      </w:r>
      <w:r w:rsidR="001C1AA8" w:rsidRPr="00B05586">
        <w:rPr>
          <w:i/>
        </w:rPr>
        <w:t xml:space="preserve"> </w:t>
      </w:r>
      <w:r w:rsidRPr="00B05586">
        <w:rPr>
          <w:i/>
        </w:rPr>
        <w:t>required to be disclosed by § 1026.37(c)(2)(ii)</w:t>
      </w:r>
      <w:r w:rsidR="001C1AA8" w:rsidRPr="00B05586">
        <w:rPr>
          <w:i/>
        </w:rPr>
        <w:t xml:space="preserve"> </w:t>
      </w:r>
      <w:r w:rsidR="001C1AA8" w:rsidRPr="00B05586">
        <w:rPr>
          <w:b/>
          <w:i/>
        </w:rPr>
        <w:t>[23]</w:t>
      </w:r>
      <w:r w:rsidRPr="00B05586">
        <w:rPr>
          <w:b/>
          <w:i/>
        </w:rPr>
        <w:t>,</w:t>
      </w:r>
      <w:r w:rsidRPr="00B05586">
        <w:rPr>
          <w:i/>
        </w:rPr>
        <w:t xml:space="preserve"> the creditor would calculate the total monthly</w:t>
      </w:r>
      <w:r w:rsidR="001C1AA8" w:rsidRPr="00B05586">
        <w:rPr>
          <w:i/>
        </w:rPr>
        <w:t xml:space="preserve"> </w:t>
      </w:r>
      <w:r w:rsidRPr="00B05586">
        <w:rPr>
          <w:i/>
        </w:rPr>
        <w:t>payment by adding the exact periodic principal and interest payment of $2,000.49 and the</w:t>
      </w:r>
      <w:r w:rsidR="001C1AA8" w:rsidRPr="00B05586">
        <w:rPr>
          <w:i/>
        </w:rPr>
        <w:t xml:space="preserve"> </w:t>
      </w:r>
      <w:r w:rsidRPr="00B05586">
        <w:rPr>
          <w:i/>
        </w:rPr>
        <w:t>rounded periodic mortgage insurance payment of $164, round the total, and disclose $2,164.</w:t>
      </w:r>
    </w:p>
    <w:p w:rsidR="001C1AA8" w:rsidRPr="00B05586" w:rsidRDefault="001C1AA8" w:rsidP="001C1AA8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480129" w:rsidRPr="00B05586" w:rsidRDefault="00480129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i/>
          <w:iCs/>
          <w:sz w:val="24"/>
          <w:szCs w:val="24"/>
        </w:rPr>
      </w:pPr>
    </w:p>
    <w:p w:rsidR="006C62BE" w:rsidRPr="00B05586" w:rsidRDefault="006C62BE">
      <w:pPr>
        <w:widowControl/>
        <w:suppressAutoHyphens w:val="0"/>
        <w:spacing w:after="0" w:line="240" w:lineRule="auto"/>
        <w:ind w:firstLine="0"/>
        <w:jc w:val="left"/>
        <w:rPr>
          <w:rFonts w:ascii="Times New Roman" w:hAnsi="Times New Roman"/>
          <w:b/>
          <w:i/>
          <w:iCs/>
          <w:sz w:val="24"/>
          <w:szCs w:val="24"/>
        </w:rPr>
      </w:pPr>
      <w:r w:rsidRPr="00B05586">
        <w:rPr>
          <w:rFonts w:ascii="Times New Roman" w:hAnsi="Times New Roman"/>
          <w:b/>
          <w:i/>
          <w:iCs/>
          <w:sz w:val="24"/>
          <w:szCs w:val="24"/>
        </w:rPr>
        <w:br w:type="page"/>
      </w:r>
    </w:p>
    <w:p w:rsidR="009773E5" w:rsidRPr="00B05586" w:rsidRDefault="009773E5" w:rsidP="001C1AA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i/>
          <w:iCs/>
          <w:sz w:val="24"/>
          <w:szCs w:val="24"/>
        </w:rPr>
      </w:pPr>
      <w:r w:rsidRPr="00B05586">
        <w:rPr>
          <w:rFonts w:ascii="Times New Roman" w:hAnsi="Times New Roman"/>
          <w:b/>
          <w:i/>
          <w:iCs/>
          <w:sz w:val="24"/>
          <w:szCs w:val="24"/>
        </w:rPr>
        <w:lastRenderedPageBreak/>
        <w:t>37(o)(4)(ii) Percentages.</w:t>
      </w:r>
    </w:p>
    <w:p w:rsidR="00F96617" w:rsidRPr="00B05586" w:rsidRDefault="00F96617" w:rsidP="001C1AA8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9773E5" w:rsidRPr="00B05586" w:rsidRDefault="009773E5" w:rsidP="001C1AA8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1. </w:t>
      </w:r>
      <w:r w:rsidRPr="00B05586">
        <w:rPr>
          <w:b/>
          <w:i/>
          <w:iCs/>
        </w:rPr>
        <w:t>Decimal places.</w:t>
      </w:r>
      <w:r w:rsidRPr="00B05586">
        <w:rPr>
          <w:i/>
          <w:iCs/>
        </w:rPr>
        <w:t xml:space="preserve"> </w:t>
      </w:r>
      <w:r w:rsidRPr="00B05586">
        <w:rPr>
          <w:i/>
        </w:rPr>
        <w:t>Section 1026.37(o)(4)(ii)</w:t>
      </w:r>
      <w:r w:rsidRPr="00B05586">
        <w:rPr>
          <w:b/>
          <w:i/>
        </w:rPr>
        <w:t xml:space="preserve"> </w:t>
      </w:r>
      <w:r w:rsidR="001C1AA8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1C1AA8" w:rsidRPr="00B05586">
        <w:rPr>
          <w:b/>
          <w:i/>
        </w:rPr>
        <w:t>]</w:t>
      </w:r>
      <w:r w:rsidR="001C1AA8" w:rsidRPr="00B05586">
        <w:rPr>
          <w:i/>
        </w:rPr>
        <w:t xml:space="preserve"> </w:t>
      </w:r>
      <w:r w:rsidRPr="00B05586">
        <w:rPr>
          <w:i/>
        </w:rPr>
        <w:t>requires the percentage amounts disclosed</w:t>
      </w:r>
      <w:r w:rsidR="001C1AA8" w:rsidRPr="00B05586">
        <w:rPr>
          <w:i/>
        </w:rPr>
        <w:t xml:space="preserve"> </w:t>
      </w:r>
      <w:r w:rsidRPr="00B05586">
        <w:rPr>
          <w:i/>
        </w:rPr>
        <w:t>to be truncated at the decimal point, if the amount is a whole number. For example, a 7.005</w:t>
      </w:r>
      <w:r w:rsidR="001C1AA8" w:rsidRPr="00B05586">
        <w:rPr>
          <w:i/>
        </w:rPr>
        <w:t xml:space="preserve"> </w:t>
      </w:r>
      <w:r w:rsidRPr="00B05586">
        <w:rPr>
          <w:i/>
        </w:rPr>
        <w:t>percent annual percentage rate is disclosed in compliance with § 1026.37(o)(4)(ii)</w:t>
      </w:r>
      <w:r w:rsidRPr="00B05586">
        <w:rPr>
          <w:b/>
          <w:i/>
        </w:rPr>
        <w:t xml:space="preserve"> </w:t>
      </w:r>
      <w:r w:rsidR="001C1AA8" w:rsidRPr="00B05586">
        <w:rPr>
          <w:b/>
          <w:i/>
        </w:rPr>
        <w:t>[</w:t>
      </w:r>
      <w:r w:rsidR="007C7A6B" w:rsidRPr="00B05586">
        <w:rPr>
          <w:b/>
          <w:i/>
        </w:rPr>
        <w:t>77</w:t>
      </w:r>
      <w:r w:rsidR="001C1AA8" w:rsidRPr="00B05586">
        <w:rPr>
          <w:b/>
          <w:i/>
        </w:rPr>
        <w:t>]</w:t>
      </w:r>
      <w:r w:rsidR="001C1AA8" w:rsidRPr="00B05586">
        <w:rPr>
          <w:i/>
        </w:rPr>
        <w:t xml:space="preserve"> </w:t>
      </w:r>
      <w:r w:rsidRPr="00B05586">
        <w:rPr>
          <w:i/>
        </w:rPr>
        <w:t xml:space="preserve">as </w:t>
      </w:r>
      <w:r w:rsidRPr="00B05586">
        <w:rPr>
          <w:b/>
          <w:i/>
        </w:rPr>
        <w:t>“7.005%,”</w:t>
      </w:r>
      <w:r w:rsidR="001C1AA8" w:rsidRPr="00B05586">
        <w:rPr>
          <w:b/>
          <w:i/>
        </w:rPr>
        <w:t xml:space="preserve"> </w:t>
      </w:r>
      <w:r w:rsidRPr="00B05586">
        <w:rPr>
          <w:i/>
        </w:rPr>
        <w:t xml:space="preserve">but a 7.000 percent annual percentage rate would be disclosed as </w:t>
      </w:r>
      <w:r w:rsidRPr="00B05586">
        <w:rPr>
          <w:b/>
          <w:i/>
        </w:rPr>
        <w:t>“7%.”</w:t>
      </w:r>
      <w:r w:rsidRPr="00B05586">
        <w:rPr>
          <w:i/>
        </w:rPr>
        <w:t xml:space="preserve"> If any percentage</w:t>
      </w:r>
      <w:r w:rsidR="001C1AA8" w:rsidRPr="00B05586">
        <w:rPr>
          <w:i/>
        </w:rPr>
        <w:t xml:space="preserve"> </w:t>
      </w:r>
      <w:r w:rsidRPr="00B05586">
        <w:rPr>
          <w:i/>
        </w:rPr>
        <w:t>amounts required to be disclosed contain more than three decimal places, they shall be rounded</w:t>
      </w:r>
      <w:r w:rsidR="001C1AA8" w:rsidRPr="00B05586">
        <w:rPr>
          <w:i/>
        </w:rPr>
        <w:t xml:space="preserve"> </w:t>
      </w:r>
      <w:r w:rsidRPr="00B05586">
        <w:rPr>
          <w:i/>
        </w:rPr>
        <w:t>to three decimal places.</w:t>
      </w:r>
    </w:p>
    <w:p w:rsidR="009E1E7B" w:rsidRDefault="009E1E7B" w:rsidP="00BE3DD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31103" w:rsidRDefault="00631103">
      <w:pPr>
        <w:widowControl/>
        <w:suppressAutoHyphens w:val="0"/>
        <w:spacing w:after="0" w:line="240" w:lineRule="auto"/>
        <w:ind w:firstLine="0"/>
        <w:jc w:val="left"/>
      </w:pPr>
      <w:bookmarkStart w:id="14" w:name="_Toc436835341"/>
    </w:p>
    <w:p w:rsidR="00631103" w:rsidRDefault="00631103" w:rsidP="00631103">
      <w:pPr>
        <w:pStyle w:val="Heading3"/>
      </w:pPr>
      <w:r>
        <w:t>CFPB Guide</w:t>
      </w:r>
    </w:p>
    <w:p w:rsidR="00A87133" w:rsidRDefault="00631103" w:rsidP="00631103">
      <w:pPr>
        <w:widowControl/>
        <w:suppressAutoHyphens w:val="0"/>
        <w:spacing w:after="0" w:line="240" w:lineRule="auto"/>
        <w:ind w:firstLine="0"/>
        <w:jc w:val="left"/>
        <w:rPr>
          <w:rFonts w:cs="Arial"/>
          <w:b/>
          <w:bCs/>
          <w:i/>
          <w:iCs/>
          <w:kern w:val="30"/>
          <w:sz w:val="28"/>
          <w:szCs w:val="28"/>
        </w:rPr>
      </w:pPr>
      <w:r>
        <w:t>None.</w:t>
      </w:r>
      <w:r w:rsidR="00A87133">
        <w:br w:type="page"/>
      </w:r>
    </w:p>
    <w:p w:rsidR="00EF478E" w:rsidRDefault="00EF478E" w:rsidP="00EF478E">
      <w:pPr>
        <w:pStyle w:val="Heading2"/>
      </w:pPr>
      <w:r>
        <w:lastRenderedPageBreak/>
        <w:t>[7</w:t>
      </w:r>
      <w:r w:rsidR="00847580">
        <w:t>8</w:t>
      </w:r>
      <w:r>
        <w:t>] Exceptions</w:t>
      </w:r>
      <w:bookmarkEnd w:id="14"/>
    </w:p>
    <w:p w:rsidR="00A87133" w:rsidRDefault="00A87133" w:rsidP="00A87133">
      <w:pPr>
        <w:ind w:firstLine="0"/>
      </w:pPr>
    </w:p>
    <w:p w:rsidR="00EF478E" w:rsidRDefault="009773E5" w:rsidP="00EF478E">
      <w:pPr>
        <w:pStyle w:val="Heading3"/>
        <w:rPr>
          <w:rFonts w:ascii="Times New Roman" w:hAnsi="Times New Roman"/>
          <w:sz w:val="24"/>
          <w:szCs w:val="24"/>
        </w:rPr>
      </w:pPr>
      <w:r>
        <w:t>Regulat</w:t>
      </w:r>
      <w:r w:rsidR="00480129">
        <w:t>ory Text</w:t>
      </w:r>
      <w:r>
        <w:t xml:space="preserve"> § 1026.37(o</w:t>
      </w:r>
      <w:r w:rsidR="00EF478E">
        <w:t>)(</w:t>
      </w:r>
      <w:r>
        <w:t>5</w:t>
      </w:r>
      <w:r w:rsidR="00EF478E">
        <w:t>)</w:t>
      </w:r>
    </w:p>
    <w:p w:rsidR="00F96617" w:rsidRDefault="00F96617" w:rsidP="00EF478E">
      <w:pPr>
        <w:autoSpaceDE w:val="0"/>
        <w:autoSpaceDN w:val="0"/>
        <w:adjustRightInd w:val="0"/>
        <w:spacing w:after="0" w:line="240" w:lineRule="auto"/>
        <w:ind w:firstLine="0"/>
      </w:pPr>
    </w:p>
    <w:p w:rsidR="00512E53" w:rsidRPr="00B05586" w:rsidRDefault="001F4B5E" w:rsidP="00EF478E">
      <w:pPr>
        <w:autoSpaceDE w:val="0"/>
        <w:autoSpaceDN w:val="0"/>
        <w:adjustRightInd w:val="0"/>
        <w:spacing w:after="0" w:line="240" w:lineRule="auto"/>
        <w:ind w:firstLine="0"/>
        <w:rPr>
          <w:b/>
          <w:iCs/>
        </w:rPr>
      </w:pPr>
      <w:r w:rsidRPr="00D7282B">
        <w:t xml:space="preserve">(5) </w:t>
      </w:r>
      <w:r w:rsidRPr="00B05586">
        <w:rPr>
          <w:b/>
          <w:iCs/>
        </w:rPr>
        <w:t xml:space="preserve">Exceptions. </w:t>
      </w:r>
    </w:p>
    <w:p w:rsidR="00512E53" w:rsidRPr="00B05586" w:rsidRDefault="00512E53" w:rsidP="00512E53">
      <w:pPr>
        <w:autoSpaceDE w:val="0"/>
        <w:autoSpaceDN w:val="0"/>
        <w:adjustRightInd w:val="0"/>
        <w:spacing w:after="0" w:line="240" w:lineRule="auto"/>
        <w:ind w:firstLine="0"/>
        <w:rPr>
          <w:iCs/>
        </w:rPr>
      </w:pPr>
    </w:p>
    <w:p w:rsidR="001F4B5E" w:rsidRPr="00B05586" w:rsidRDefault="001F4B5E" w:rsidP="00480129">
      <w:pPr>
        <w:autoSpaceDE w:val="0"/>
        <w:autoSpaceDN w:val="0"/>
        <w:adjustRightInd w:val="0"/>
        <w:spacing w:after="0" w:line="240" w:lineRule="auto"/>
        <w:ind w:left="360" w:firstLine="0"/>
      </w:pPr>
      <w:r w:rsidRPr="00B05586">
        <w:t xml:space="preserve">(i) </w:t>
      </w:r>
      <w:r w:rsidRPr="00B05586">
        <w:rPr>
          <w:b/>
          <w:iCs/>
        </w:rPr>
        <w:t>Unit-period</w:t>
      </w:r>
      <w:r w:rsidRPr="00B05586">
        <w:rPr>
          <w:iCs/>
        </w:rPr>
        <w:t xml:space="preserve">. </w:t>
      </w:r>
      <w:r w:rsidRPr="00B05586">
        <w:t>Wherever the form or this section uses “monthly” to</w:t>
      </w:r>
      <w:r w:rsidR="00512E53" w:rsidRPr="00B05586">
        <w:t xml:space="preserve"> </w:t>
      </w:r>
      <w:r w:rsidRPr="00B05586">
        <w:t xml:space="preserve">describe the frequency of any payments or uses </w:t>
      </w:r>
      <w:r w:rsidRPr="00B05586">
        <w:rPr>
          <w:b/>
        </w:rPr>
        <w:t>“month”</w:t>
      </w:r>
      <w:r w:rsidRPr="00B05586">
        <w:t xml:space="preserve"> to describe the applicable unit-period,</w:t>
      </w:r>
      <w:r w:rsidR="00512E53" w:rsidRPr="00B05586">
        <w:t xml:space="preserve"> </w:t>
      </w:r>
      <w:r w:rsidRPr="00B05586">
        <w:t>the creditor shall substitute the appropriate term to reflect the fact that the transaction’s terms</w:t>
      </w:r>
      <w:r w:rsidR="00512E53" w:rsidRPr="00B05586">
        <w:t xml:space="preserve"> </w:t>
      </w:r>
      <w:r w:rsidRPr="00B05586">
        <w:t>provide for other than monthly periodic payments, such as bi-weekly or quarterly payments.</w:t>
      </w:r>
    </w:p>
    <w:p w:rsidR="00512E53" w:rsidRPr="00B05586" w:rsidRDefault="00512E53" w:rsidP="00480129">
      <w:pPr>
        <w:autoSpaceDE w:val="0"/>
        <w:autoSpaceDN w:val="0"/>
        <w:adjustRightInd w:val="0"/>
        <w:spacing w:after="0" w:line="240" w:lineRule="auto"/>
        <w:ind w:left="360" w:firstLine="0"/>
      </w:pPr>
    </w:p>
    <w:p w:rsidR="001F4B5E" w:rsidRPr="00B05586" w:rsidRDefault="001F4B5E" w:rsidP="00480129">
      <w:pPr>
        <w:autoSpaceDE w:val="0"/>
        <w:autoSpaceDN w:val="0"/>
        <w:adjustRightInd w:val="0"/>
        <w:spacing w:after="0" w:line="240" w:lineRule="auto"/>
        <w:ind w:left="360" w:firstLine="0"/>
      </w:pPr>
      <w:r w:rsidRPr="00B05586">
        <w:t xml:space="preserve">(ii) </w:t>
      </w:r>
      <w:r w:rsidRPr="00B05586">
        <w:rPr>
          <w:b/>
          <w:iCs/>
        </w:rPr>
        <w:t>Translation.</w:t>
      </w:r>
      <w:r w:rsidRPr="00B05586">
        <w:rPr>
          <w:iCs/>
        </w:rPr>
        <w:t xml:space="preserve"> </w:t>
      </w:r>
      <w:r w:rsidRPr="00B05586">
        <w:t>The form may be translated into languages other than English, and</w:t>
      </w:r>
      <w:r w:rsidR="00512E53" w:rsidRPr="00B05586">
        <w:t xml:space="preserve"> </w:t>
      </w:r>
      <w:r w:rsidRPr="00B05586">
        <w:t>creditors may modify form H-24 of appendix H to this part to the extent that translation prevents</w:t>
      </w:r>
      <w:r w:rsidR="00512E53" w:rsidRPr="00B05586">
        <w:t xml:space="preserve"> </w:t>
      </w:r>
      <w:r w:rsidRPr="00B05586">
        <w:t>the headings, labels, designations, and required disclosure items under this section from fitting in</w:t>
      </w:r>
      <w:r w:rsidR="00512E53" w:rsidRPr="00B05586">
        <w:t xml:space="preserve"> </w:t>
      </w:r>
      <w:r w:rsidRPr="00B05586">
        <w:t>the space provided on form H-24.</w:t>
      </w:r>
    </w:p>
    <w:p w:rsidR="00512E53" w:rsidRPr="00B05586" w:rsidRDefault="00512E53" w:rsidP="00480129">
      <w:pPr>
        <w:autoSpaceDE w:val="0"/>
        <w:autoSpaceDN w:val="0"/>
        <w:adjustRightInd w:val="0"/>
        <w:spacing w:after="0" w:line="240" w:lineRule="auto"/>
        <w:ind w:left="360" w:firstLine="0"/>
      </w:pPr>
    </w:p>
    <w:p w:rsidR="001F4B5E" w:rsidRDefault="001F4B5E" w:rsidP="00480129">
      <w:pPr>
        <w:autoSpaceDE w:val="0"/>
        <w:autoSpaceDN w:val="0"/>
        <w:adjustRightInd w:val="0"/>
        <w:spacing w:after="0" w:line="240" w:lineRule="auto"/>
        <w:ind w:left="360" w:firstLine="0"/>
      </w:pPr>
      <w:r w:rsidRPr="00B05586">
        <w:t xml:space="preserve">(iii) </w:t>
      </w:r>
      <w:r w:rsidRPr="00B05586">
        <w:rPr>
          <w:b/>
          <w:iCs/>
        </w:rPr>
        <w:t>Logo or slogan.</w:t>
      </w:r>
      <w:r w:rsidRPr="00D7282B">
        <w:rPr>
          <w:i/>
          <w:iCs/>
        </w:rPr>
        <w:t xml:space="preserve"> </w:t>
      </w:r>
      <w:r w:rsidRPr="00D7282B">
        <w:t>The creditor providing the form may use a logo for, and include a</w:t>
      </w:r>
      <w:r w:rsidR="00512E53" w:rsidRPr="00D7282B">
        <w:t xml:space="preserve"> </w:t>
      </w:r>
      <w:r w:rsidRPr="00D7282B">
        <w:t xml:space="preserve">slogan with, the information required by paragraph (a)(3) </w:t>
      </w:r>
      <w:r w:rsidR="001C1AA8" w:rsidRPr="00D7282B">
        <w:rPr>
          <w:b/>
        </w:rPr>
        <w:t>[3]</w:t>
      </w:r>
      <w:r w:rsidR="001C1AA8" w:rsidRPr="00D7282B">
        <w:t xml:space="preserve"> </w:t>
      </w:r>
      <w:r w:rsidRPr="00D7282B">
        <w:t>of this section in any font size or type,</w:t>
      </w:r>
      <w:r w:rsidR="00512E53" w:rsidRPr="00D7282B">
        <w:t xml:space="preserve"> </w:t>
      </w:r>
      <w:r w:rsidRPr="00D7282B">
        <w:t>provided that such logo or slogan does not cause the information required by paragraph (a)(3)</w:t>
      </w:r>
      <w:r w:rsidRPr="00D7282B">
        <w:rPr>
          <w:b/>
        </w:rPr>
        <w:t xml:space="preserve"> </w:t>
      </w:r>
      <w:r w:rsidR="001C1AA8" w:rsidRPr="00D7282B">
        <w:rPr>
          <w:b/>
        </w:rPr>
        <w:t>[3]</w:t>
      </w:r>
      <w:r w:rsidR="001C1AA8" w:rsidRPr="00D7282B">
        <w:t xml:space="preserve"> </w:t>
      </w:r>
      <w:r w:rsidRPr="00D7282B">
        <w:t>of</w:t>
      </w:r>
      <w:r w:rsidR="00512E53" w:rsidRPr="00D7282B">
        <w:t xml:space="preserve"> </w:t>
      </w:r>
      <w:r w:rsidRPr="00D7282B">
        <w:t>this section to exceed the space provided for that information, as illustrated in form H-24 of</w:t>
      </w:r>
      <w:r w:rsidR="00512E53" w:rsidRPr="00D7282B">
        <w:t xml:space="preserve"> </w:t>
      </w:r>
      <w:r w:rsidRPr="00D7282B">
        <w:t>appendix H to this part. If the creditor does not use a logo for the information required by</w:t>
      </w:r>
      <w:r w:rsidR="00512E53" w:rsidRPr="00D7282B">
        <w:t xml:space="preserve"> </w:t>
      </w:r>
      <w:r w:rsidRPr="00D7282B">
        <w:t xml:space="preserve">paragraph (a)(3) </w:t>
      </w:r>
      <w:r w:rsidR="001C1AA8" w:rsidRPr="00D7282B">
        <w:rPr>
          <w:b/>
        </w:rPr>
        <w:lastRenderedPageBreak/>
        <w:t>[3]</w:t>
      </w:r>
      <w:r w:rsidR="001C1AA8" w:rsidRPr="00D7282B">
        <w:t xml:space="preserve"> </w:t>
      </w:r>
      <w:r w:rsidRPr="00D7282B">
        <w:t>of this section, the information shall be disclosed in a similar format as form H-</w:t>
      </w:r>
      <w:r w:rsidR="00512E53" w:rsidRPr="00D7282B">
        <w:t xml:space="preserve"> </w:t>
      </w:r>
      <w:r w:rsidRPr="00D7282B">
        <w:t>24.</w:t>
      </w:r>
    </w:p>
    <w:p w:rsidR="00512E53" w:rsidRPr="00D7282B" w:rsidRDefault="00512E53" w:rsidP="00480129">
      <w:pPr>
        <w:autoSpaceDE w:val="0"/>
        <w:autoSpaceDN w:val="0"/>
        <w:adjustRightInd w:val="0"/>
        <w:spacing w:after="0" w:line="240" w:lineRule="auto"/>
        <w:ind w:left="360" w:firstLine="0"/>
      </w:pPr>
    </w:p>
    <w:p w:rsidR="001F4B5E" w:rsidRPr="00B05586" w:rsidRDefault="001F4B5E" w:rsidP="00480129">
      <w:pPr>
        <w:autoSpaceDE w:val="0"/>
        <w:autoSpaceDN w:val="0"/>
        <w:adjustRightInd w:val="0"/>
        <w:spacing w:after="0" w:line="240" w:lineRule="auto"/>
        <w:ind w:left="360" w:firstLine="0"/>
      </w:pPr>
      <w:r w:rsidRPr="00D7282B">
        <w:t xml:space="preserve">(iv) </w:t>
      </w:r>
      <w:r w:rsidRPr="00B05586">
        <w:rPr>
          <w:b/>
          <w:iCs/>
        </w:rPr>
        <w:t>Business card</w:t>
      </w:r>
      <w:r w:rsidRPr="00B05586">
        <w:rPr>
          <w:iCs/>
        </w:rPr>
        <w:t xml:space="preserve">. </w:t>
      </w:r>
      <w:r w:rsidRPr="00B05586">
        <w:t>The creditor may physically attach a business card over the</w:t>
      </w:r>
      <w:r w:rsidR="00512E53" w:rsidRPr="00B05586">
        <w:t xml:space="preserve"> </w:t>
      </w:r>
      <w:r w:rsidRPr="00B05586">
        <w:t xml:space="preserve">information required to be disclosed by paragraph (a)(3) </w:t>
      </w:r>
      <w:r w:rsidR="001C1AA8" w:rsidRPr="00B05586">
        <w:rPr>
          <w:b/>
        </w:rPr>
        <w:t>[3]</w:t>
      </w:r>
      <w:r w:rsidR="001C1AA8" w:rsidRPr="00B05586">
        <w:t xml:space="preserve"> </w:t>
      </w:r>
      <w:r w:rsidRPr="00B05586">
        <w:t>of this section.</w:t>
      </w:r>
    </w:p>
    <w:p w:rsidR="00512E53" w:rsidRPr="00B05586" w:rsidRDefault="00512E53" w:rsidP="00480129">
      <w:pPr>
        <w:autoSpaceDE w:val="0"/>
        <w:autoSpaceDN w:val="0"/>
        <w:adjustRightInd w:val="0"/>
        <w:spacing w:after="0" w:line="240" w:lineRule="auto"/>
        <w:ind w:left="360" w:firstLine="0"/>
      </w:pPr>
    </w:p>
    <w:p w:rsidR="00F84AD7" w:rsidRPr="00D7282B" w:rsidRDefault="001F4B5E" w:rsidP="00480129">
      <w:pPr>
        <w:autoSpaceDE w:val="0"/>
        <w:autoSpaceDN w:val="0"/>
        <w:adjustRightInd w:val="0"/>
        <w:spacing w:after="0" w:line="240" w:lineRule="auto"/>
        <w:ind w:left="360" w:firstLine="0"/>
      </w:pPr>
      <w:r w:rsidRPr="00B05586">
        <w:t xml:space="preserve">(v) </w:t>
      </w:r>
      <w:r w:rsidRPr="00B05586">
        <w:rPr>
          <w:b/>
          <w:iCs/>
        </w:rPr>
        <w:t>Administrative information.</w:t>
      </w:r>
      <w:r w:rsidRPr="00D7282B">
        <w:rPr>
          <w:i/>
          <w:iCs/>
        </w:rPr>
        <w:t xml:space="preserve"> </w:t>
      </w:r>
      <w:r w:rsidRPr="00D7282B">
        <w:t>The creditor may insert at the bottom of each page under</w:t>
      </w:r>
      <w:r w:rsidR="00512E53" w:rsidRPr="00D7282B">
        <w:t xml:space="preserve"> </w:t>
      </w:r>
      <w:r w:rsidRPr="00D7282B">
        <w:t>the disclosures required by this section as illustrated by form H-24 of appendix H to this part,</w:t>
      </w:r>
      <w:r w:rsidR="00512E53" w:rsidRPr="00D7282B">
        <w:t xml:space="preserve"> </w:t>
      </w:r>
      <w:r w:rsidRPr="00D7282B">
        <w:t>any administrative information, text, or codes that assist in identification of the form or the</w:t>
      </w:r>
      <w:r w:rsidR="00512E53" w:rsidRPr="00D7282B">
        <w:t xml:space="preserve"> </w:t>
      </w:r>
      <w:r w:rsidRPr="00D7282B">
        <w:t>information disclosed on the form, provided that the space provided on form H-24 of appendix H</w:t>
      </w:r>
      <w:r w:rsidR="00512E53" w:rsidRPr="00D7282B">
        <w:t xml:space="preserve"> </w:t>
      </w:r>
      <w:r w:rsidRPr="00D7282B">
        <w:t>to this part for any of the information required by this section is not altered.</w:t>
      </w:r>
    </w:p>
    <w:p w:rsidR="00F84AD7" w:rsidRPr="00D7282B" w:rsidRDefault="00F84AD7">
      <w:pPr>
        <w:widowControl/>
        <w:suppressAutoHyphens w:val="0"/>
        <w:spacing w:after="0" w:line="240" w:lineRule="auto"/>
        <w:ind w:firstLine="0"/>
        <w:jc w:val="left"/>
      </w:pPr>
    </w:p>
    <w:p w:rsidR="00480129" w:rsidRDefault="00480129" w:rsidP="00EF478E">
      <w:pPr>
        <w:pStyle w:val="Heading3"/>
      </w:pPr>
    </w:p>
    <w:p w:rsidR="00EF478E" w:rsidRDefault="00DB77B7" w:rsidP="00EF478E">
      <w:pPr>
        <w:pStyle w:val="Heading3"/>
      </w:pPr>
      <w:r>
        <w:t>Regulatory Commentary</w:t>
      </w:r>
    </w:p>
    <w:p w:rsidR="00F96617" w:rsidRDefault="00F96617" w:rsidP="009773E5">
      <w:pPr>
        <w:autoSpaceDE w:val="0"/>
        <w:autoSpaceDN w:val="0"/>
        <w:adjustRightInd w:val="0"/>
        <w:spacing w:after="0" w:line="240" w:lineRule="auto"/>
        <w:ind w:firstLine="0"/>
      </w:pPr>
    </w:p>
    <w:p w:rsidR="009773E5" w:rsidRPr="00B05586" w:rsidRDefault="009773E5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1. </w:t>
      </w:r>
      <w:r w:rsidRPr="00B05586">
        <w:rPr>
          <w:b/>
          <w:i/>
          <w:iCs/>
        </w:rPr>
        <w:t>Permissible changes.</w:t>
      </w:r>
      <w:r w:rsidRPr="00B05586">
        <w:rPr>
          <w:i/>
          <w:iCs/>
        </w:rPr>
        <w:t xml:space="preserve"> </w:t>
      </w:r>
      <w:r w:rsidRPr="00B05586">
        <w:rPr>
          <w:i/>
        </w:rPr>
        <w:t xml:space="preserve">The changes required or permitted by § 1026.37(o)(5) </w:t>
      </w:r>
      <w:r w:rsidRPr="00B05586">
        <w:rPr>
          <w:b/>
          <w:i/>
        </w:rPr>
        <w:t>[</w:t>
      </w:r>
      <w:r w:rsidR="007C7A6B" w:rsidRPr="00B05586">
        <w:rPr>
          <w:b/>
          <w:i/>
        </w:rPr>
        <w:t>78</w:t>
      </w:r>
      <w:r w:rsidRPr="00B05586">
        <w:rPr>
          <w:b/>
          <w:i/>
        </w:rPr>
        <w:t>]</w:t>
      </w:r>
      <w:r w:rsidRPr="00B05586">
        <w:rPr>
          <w:i/>
        </w:rPr>
        <w:t xml:space="preserve"> are permitted for federally related mortgage loans for which the use of form H-24 is required under § 1026.37(o)(3)</w:t>
      </w:r>
      <w:r w:rsidR="001C1AA8" w:rsidRPr="00B05586">
        <w:rPr>
          <w:i/>
        </w:rPr>
        <w:t xml:space="preserve"> </w:t>
      </w:r>
      <w:r w:rsidR="001C1AA8" w:rsidRPr="00B05586">
        <w:rPr>
          <w:b/>
          <w:i/>
        </w:rPr>
        <w:t>[</w:t>
      </w:r>
      <w:r w:rsidR="00F53301" w:rsidRPr="00B05586">
        <w:rPr>
          <w:b/>
          <w:i/>
        </w:rPr>
        <w:t>76</w:t>
      </w:r>
      <w:r w:rsidR="001C1AA8" w:rsidRPr="00B05586">
        <w:rPr>
          <w:b/>
          <w:i/>
        </w:rPr>
        <w:t>]</w:t>
      </w:r>
      <w:r w:rsidRPr="00B05586">
        <w:rPr>
          <w:i/>
        </w:rPr>
        <w:t>. For non-federally rel</w:t>
      </w:r>
      <w:r w:rsidRPr="00B05586">
        <w:rPr>
          <w:i/>
        </w:rPr>
        <w:lastRenderedPageBreak/>
        <w:t>ated mortgage loans, the changes required or permitted by</w:t>
      </w:r>
      <w:r w:rsidR="00533A60" w:rsidRPr="00B05586">
        <w:rPr>
          <w:i/>
        </w:rPr>
        <w:t xml:space="preserve"> </w:t>
      </w:r>
      <w:r w:rsidRPr="00B05586">
        <w:rPr>
          <w:i/>
        </w:rPr>
        <w:t xml:space="preserve">§ 1026.37(o)(5) </w:t>
      </w:r>
      <w:r w:rsidR="00133ED9" w:rsidRPr="00B05586">
        <w:rPr>
          <w:b/>
          <w:i/>
        </w:rPr>
        <w:t>[</w:t>
      </w:r>
      <w:r w:rsidR="007C7A6B" w:rsidRPr="00B05586">
        <w:rPr>
          <w:b/>
          <w:i/>
        </w:rPr>
        <w:t>78</w:t>
      </w:r>
      <w:r w:rsidR="00133ED9" w:rsidRPr="00B05586">
        <w:rPr>
          <w:b/>
          <w:i/>
        </w:rPr>
        <w:t>]</w:t>
      </w:r>
      <w:r w:rsidR="00133ED9" w:rsidRPr="00B05586">
        <w:rPr>
          <w:i/>
        </w:rPr>
        <w:t xml:space="preserve"> </w:t>
      </w:r>
      <w:r w:rsidRPr="00B05586">
        <w:rPr>
          <w:i/>
        </w:rPr>
        <w:t>do not affect the substance, clarity, or meaningful sequence of the disclosure and</w:t>
      </w:r>
      <w:r w:rsidR="00533A60" w:rsidRPr="00B05586">
        <w:rPr>
          <w:i/>
        </w:rPr>
        <w:t xml:space="preserve"> </w:t>
      </w:r>
      <w:r w:rsidRPr="00B05586">
        <w:rPr>
          <w:i/>
        </w:rPr>
        <w:t xml:space="preserve">therefore, are permissible. Any changes to the disclosure not specified in § 1026.37(o)(5) </w:t>
      </w:r>
      <w:r w:rsidR="00133ED9" w:rsidRPr="00B05586">
        <w:rPr>
          <w:b/>
          <w:i/>
        </w:rPr>
        <w:t>[</w:t>
      </w:r>
      <w:r w:rsidR="007C7A6B" w:rsidRPr="00B05586">
        <w:rPr>
          <w:b/>
          <w:i/>
        </w:rPr>
        <w:t>78</w:t>
      </w:r>
      <w:r w:rsidR="00133ED9" w:rsidRPr="00B05586">
        <w:rPr>
          <w:b/>
          <w:i/>
        </w:rPr>
        <w:t>]</w:t>
      </w:r>
      <w:r w:rsidR="00133ED9" w:rsidRPr="00B05586">
        <w:rPr>
          <w:i/>
        </w:rPr>
        <w:t xml:space="preserve"> </w:t>
      </w:r>
      <w:r w:rsidRPr="00B05586">
        <w:rPr>
          <w:i/>
        </w:rPr>
        <w:t>or not</w:t>
      </w:r>
      <w:r w:rsidR="00533A60" w:rsidRPr="00B05586">
        <w:rPr>
          <w:i/>
        </w:rPr>
        <w:t xml:space="preserve"> </w:t>
      </w:r>
      <w:r w:rsidRPr="00B05586">
        <w:rPr>
          <w:i/>
        </w:rPr>
        <w:t xml:space="preserve">permitted by other provisions of § 1026.37 </w:t>
      </w:r>
      <w:r w:rsidR="00133ED9" w:rsidRPr="00B05586">
        <w:rPr>
          <w:b/>
          <w:i/>
        </w:rPr>
        <w:t>[the Loan Estimate]</w:t>
      </w:r>
      <w:r w:rsidR="00133ED9" w:rsidRPr="00B05586">
        <w:rPr>
          <w:i/>
        </w:rPr>
        <w:t xml:space="preserve"> </w:t>
      </w:r>
      <w:r w:rsidRPr="00B05586">
        <w:rPr>
          <w:i/>
        </w:rPr>
        <w:t>are not permissible for federally related mortgage</w:t>
      </w:r>
      <w:r w:rsidR="00533A60" w:rsidRPr="00B05586">
        <w:rPr>
          <w:i/>
        </w:rPr>
        <w:t xml:space="preserve"> </w:t>
      </w:r>
      <w:r w:rsidRPr="00B05586">
        <w:rPr>
          <w:i/>
        </w:rPr>
        <w:t>loans. Creditors in non-federally related mortgage loans making any changes that affect the</w:t>
      </w:r>
      <w:r w:rsidR="00533A60" w:rsidRPr="00B05586">
        <w:rPr>
          <w:i/>
        </w:rPr>
        <w:t xml:space="preserve"> </w:t>
      </w:r>
      <w:r w:rsidRPr="00B05586">
        <w:rPr>
          <w:i/>
        </w:rPr>
        <w:t>substance, clarity, or meaningful sequence of the disclosure will lose their protection from civil</w:t>
      </w:r>
      <w:r w:rsidR="00533A60" w:rsidRPr="00B05586">
        <w:rPr>
          <w:i/>
        </w:rPr>
        <w:t xml:space="preserve"> </w:t>
      </w:r>
      <w:r w:rsidRPr="00B05586">
        <w:rPr>
          <w:i/>
        </w:rPr>
        <w:lastRenderedPageBreak/>
        <w:t>liability under TILA section 130.</w:t>
      </w:r>
    </w:p>
    <w:p w:rsidR="00533A60" w:rsidRPr="00B05586" w:rsidRDefault="00533A60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303CDE" w:rsidRPr="00B05586" w:rsidRDefault="009773E5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2. </w:t>
      </w:r>
      <w:r w:rsidRPr="00B05586">
        <w:rPr>
          <w:b/>
          <w:i/>
          <w:iCs/>
        </w:rPr>
        <w:t>Manual completion.</w:t>
      </w:r>
      <w:r w:rsidRPr="00B05586">
        <w:rPr>
          <w:i/>
          <w:iCs/>
        </w:rPr>
        <w:t xml:space="preserve"> </w:t>
      </w:r>
      <w:r w:rsidRPr="00B05586">
        <w:rPr>
          <w:i/>
        </w:rPr>
        <w:t xml:space="preserve">Section 1026.37(o) </w:t>
      </w:r>
      <w:r w:rsidR="00133ED9" w:rsidRPr="00B05586">
        <w:rPr>
          <w:b/>
          <w:i/>
        </w:rPr>
        <w:t>[this manual section]</w:t>
      </w:r>
      <w:r w:rsidR="00133ED9" w:rsidRPr="00B05586">
        <w:rPr>
          <w:i/>
        </w:rPr>
        <w:t xml:space="preserve"> </w:t>
      </w:r>
      <w:r w:rsidRPr="00B05586">
        <w:rPr>
          <w:i/>
        </w:rPr>
        <w:t>does not require the creditor to use a</w:t>
      </w:r>
      <w:r w:rsidR="00533A60" w:rsidRPr="00B05586">
        <w:rPr>
          <w:i/>
        </w:rPr>
        <w:t xml:space="preserve"> </w:t>
      </w:r>
      <w:r w:rsidRPr="00B05586">
        <w:rPr>
          <w:i/>
        </w:rPr>
        <w:t>computer, typewriter, or other word processor to complete the disclosure form. The information</w:t>
      </w:r>
      <w:r w:rsidR="00533A60" w:rsidRPr="00B05586">
        <w:rPr>
          <w:i/>
        </w:rPr>
        <w:t xml:space="preserve"> </w:t>
      </w:r>
      <w:r w:rsidRPr="00B05586">
        <w:rPr>
          <w:i/>
        </w:rPr>
        <w:t>and amounts required to be disclosed by § 1026.37</w:t>
      </w:r>
      <w:r w:rsidRPr="00B05586">
        <w:rPr>
          <w:b/>
          <w:i/>
        </w:rPr>
        <w:t xml:space="preserve"> </w:t>
      </w:r>
      <w:r w:rsidR="00133ED9" w:rsidRPr="00B05586">
        <w:rPr>
          <w:b/>
          <w:i/>
        </w:rPr>
        <w:t>[the Loan Estimate]</w:t>
      </w:r>
      <w:r w:rsidR="00133ED9" w:rsidRPr="00B05586">
        <w:rPr>
          <w:i/>
        </w:rPr>
        <w:t xml:space="preserve"> </w:t>
      </w:r>
      <w:r w:rsidRPr="00B05586">
        <w:rPr>
          <w:i/>
        </w:rPr>
        <w:t>on form H-24 of appendix H to this part may</w:t>
      </w:r>
      <w:r w:rsidR="00533A60" w:rsidRPr="00B05586">
        <w:rPr>
          <w:i/>
        </w:rPr>
        <w:t xml:space="preserve"> </w:t>
      </w:r>
      <w:r w:rsidRPr="00B05586">
        <w:rPr>
          <w:i/>
        </w:rPr>
        <w:t>be filled in by hand printing or using any other method, provided the information is clear and</w:t>
      </w:r>
      <w:r w:rsidR="00533A60" w:rsidRPr="00B05586">
        <w:rPr>
          <w:i/>
        </w:rPr>
        <w:t xml:space="preserve"> </w:t>
      </w:r>
      <w:r w:rsidRPr="00B05586">
        <w:rPr>
          <w:i/>
        </w:rPr>
        <w:t>legible and complies with the formatting required by form H-24, including replicating bold font</w:t>
      </w:r>
      <w:r w:rsidR="00533A60" w:rsidRPr="00B05586">
        <w:rPr>
          <w:i/>
        </w:rPr>
        <w:t xml:space="preserve"> </w:t>
      </w:r>
      <w:r w:rsidRPr="00B05586">
        <w:rPr>
          <w:i/>
        </w:rPr>
        <w:t>where required.</w:t>
      </w:r>
    </w:p>
    <w:p w:rsidR="009773E5" w:rsidRPr="00B05586" w:rsidRDefault="009773E5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9773E5" w:rsidRPr="00B05586" w:rsidRDefault="009773E5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3. </w:t>
      </w:r>
      <w:r w:rsidRPr="00B05586">
        <w:rPr>
          <w:b/>
          <w:i/>
          <w:iCs/>
        </w:rPr>
        <w:t>Contact information.</w:t>
      </w:r>
      <w:r w:rsidRPr="00B05586">
        <w:rPr>
          <w:i/>
          <w:iCs/>
        </w:rPr>
        <w:t xml:space="preserve"> </w:t>
      </w:r>
      <w:r w:rsidRPr="00B05586">
        <w:rPr>
          <w:i/>
        </w:rPr>
        <w:t>If a transaction involves more than one creditor or mortgage</w:t>
      </w:r>
      <w:r w:rsidR="00533A60" w:rsidRPr="00B05586">
        <w:rPr>
          <w:i/>
        </w:rPr>
        <w:t xml:space="preserve"> </w:t>
      </w:r>
      <w:r w:rsidRPr="00B05586">
        <w:rPr>
          <w:i/>
        </w:rPr>
        <w:t>broker, the space provided on form H-24 of appendix H to this part for the contact information</w:t>
      </w:r>
      <w:r w:rsidR="00533A60" w:rsidRPr="00B05586">
        <w:rPr>
          <w:i/>
        </w:rPr>
        <w:t xml:space="preserve"> </w:t>
      </w:r>
      <w:r w:rsidRPr="00B05586">
        <w:rPr>
          <w:i/>
        </w:rPr>
        <w:t xml:space="preserve">required by § 1026.37(m) </w:t>
      </w:r>
      <w:r w:rsidR="00133ED9" w:rsidRPr="00B05586">
        <w:rPr>
          <w:b/>
          <w:i/>
        </w:rPr>
        <w:t>[see manual Section 14]</w:t>
      </w:r>
      <w:r w:rsidR="00133ED9" w:rsidRPr="00B05586">
        <w:rPr>
          <w:i/>
        </w:rPr>
        <w:t xml:space="preserve"> </w:t>
      </w:r>
      <w:r w:rsidRPr="00B05586">
        <w:rPr>
          <w:i/>
        </w:rPr>
        <w:t>may be altered to add additional labels to accommodate the additional</w:t>
      </w:r>
      <w:r w:rsidR="00533A60" w:rsidRPr="00B05586">
        <w:rPr>
          <w:i/>
        </w:rPr>
        <w:t xml:space="preserve"> </w:t>
      </w:r>
      <w:r w:rsidRPr="00B05586">
        <w:rPr>
          <w:i/>
        </w:rPr>
        <w:t>information of such parties, provided that the information required by § 1026.37(l), (m), and (n)</w:t>
      </w:r>
      <w:r w:rsidR="00533A60" w:rsidRPr="00B05586">
        <w:rPr>
          <w:i/>
        </w:rPr>
        <w:t xml:space="preserve"> </w:t>
      </w:r>
      <w:r w:rsidR="00133ED9" w:rsidRPr="00B05586">
        <w:rPr>
          <w:b/>
          <w:i/>
        </w:rPr>
        <w:t>[see manual Sections 13 through 15]</w:t>
      </w:r>
      <w:r w:rsidR="00133ED9" w:rsidRPr="00B05586">
        <w:rPr>
          <w:i/>
        </w:rPr>
        <w:t xml:space="preserve"> </w:t>
      </w:r>
      <w:r w:rsidRPr="00B05586">
        <w:rPr>
          <w:i/>
        </w:rPr>
        <w:t>are disclosed on the same page as illustrated by form H-24. If the space provided on form H-24</w:t>
      </w:r>
      <w:r w:rsidR="00533A60" w:rsidRPr="00B05586">
        <w:rPr>
          <w:i/>
        </w:rPr>
        <w:t xml:space="preserve"> </w:t>
      </w:r>
      <w:r w:rsidRPr="00B05586">
        <w:rPr>
          <w:i/>
        </w:rPr>
        <w:t>of appendix H to this part does not allow for the dis</w:t>
      </w:r>
      <w:r w:rsidRPr="00B05586">
        <w:rPr>
          <w:i/>
        </w:rPr>
        <w:lastRenderedPageBreak/>
        <w:t>closure of such contact and other information</w:t>
      </w:r>
      <w:r w:rsidR="00533A60" w:rsidRPr="00B05586">
        <w:rPr>
          <w:i/>
        </w:rPr>
        <w:t xml:space="preserve"> </w:t>
      </w:r>
      <w:r w:rsidRPr="00B05586">
        <w:rPr>
          <w:i/>
        </w:rPr>
        <w:t>on the same page, an additional page may be added to provide the required contact information</w:t>
      </w:r>
      <w:r w:rsidR="00533A60" w:rsidRPr="00B05586">
        <w:rPr>
          <w:i/>
        </w:rPr>
        <w:t xml:space="preserve"> </w:t>
      </w:r>
      <w:r w:rsidRPr="00B05586">
        <w:rPr>
          <w:i/>
        </w:rPr>
        <w:t>with an appropriate reference to the additional page.</w:t>
      </w:r>
    </w:p>
    <w:p w:rsidR="009549F1" w:rsidRPr="00B05586" w:rsidRDefault="009549F1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9773E5" w:rsidRPr="00B05586" w:rsidRDefault="009773E5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4. </w:t>
      </w:r>
      <w:r w:rsidRPr="00B05586">
        <w:rPr>
          <w:b/>
          <w:i/>
          <w:iCs/>
        </w:rPr>
        <w:t>Unit-period.</w:t>
      </w:r>
      <w:r w:rsidRPr="00B05586">
        <w:rPr>
          <w:i/>
          <w:iCs/>
        </w:rPr>
        <w:t xml:space="preserve"> </w:t>
      </w:r>
      <w:r w:rsidRPr="00B05586">
        <w:rPr>
          <w:i/>
        </w:rPr>
        <w:t xml:space="preserve">Section 1026.37(o)(5)(i) </w:t>
      </w:r>
      <w:r w:rsidR="00133ED9" w:rsidRPr="00B05586">
        <w:rPr>
          <w:b/>
          <w:i/>
        </w:rPr>
        <w:t>[</w:t>
      </w:r>
      <w:r w:rsidR="007C7A6B" w:rsidRPr="00B05586">
        <w:rPr>
          <w:b/>
          <w:i/>
        </w:rPr>
        <w:t>78</w:t>
      </w:r>
      <w:r w:rsidR="00133ED9" w:rsidRPr="00B05586">
        <w:rPr>
          <w:b/>
          <w:i/>
        </w:rPr>
        <w:t>]</w:t>
      </w:r>
      <w:r w:rsidR="00133ED9" w:rsidRPr="00B05586">
        <w:rPr>
          <w:i/>
        </w:rPr>
        <w:t xml:space="preserve"> </w:t>
      </w:r>
      <w:r w:rsidRPr="00B05586">
        <w:rPr>
          <w:i/>
        </w:rPr>
        <w:t>provides that wherever form H-24 or § 1026.37</w:t>
      </w:r>
      <w:r w:rsidR="009549F1" w:rsidRPr="00B05586">
        <w:rPr>
          <w:i/>
        </w:rPr>
        <w:t xml:space="preserve"> </w:t>
      </w:r>
      <w:r w:rsidR="00133ED9" w:rsidRPr="00B05586">
        <w:rPr>
          <w:b/>
          <w:i/>
        </w:rPr>
        <w:t>[the Loan Estimate]</w:t>
      </w:r>
      <w:r w:rsidR="00133ED9" w:rsidRPr="00B05586">
        <w:rPr>
          <w:i/>
        </w:rPr>
        <w:t xml:space="preserve"> </w:t>
      </w:r>
      <w:r w:rsidRPr="00B05586">
        <w:rPr>
          <w:i/>
        </w:rPr>
        <w:t>applicable unit-period, the creditor is required to substitute the appropriate term to reflect the fact</w:t>
      </w:r>
      <w:r w:rsidR="009549F1" w:rsidRPr="00B05586">
        <w:rPr>
          <w:i/>
        </w:rPr>
        <w:t xml:space="preserve"> </w:t>
      </w:r>
      <w:r w:rsidRPr="00B05586">
        <w:rPr>
          <w:i/>
        </w:rPr>
        <w:t>that the transaction’s terms provide for other than monthly periodic payments, such as bi-weekly</w:t>
      </w:r>
      <w:r w:rsidR="009549F1" w:rsidRPr="00B05586">
        <w:rPr>
          <w:i/>
        </w:rPr>
        <w:t xml:space="preserve"> </w:t>
      </w:r>
      <w:r w:rsidRPr="00B05586">
        <w:rPr>
          <w:i/>
        </w:rPr>
        <w:t>or quarterly payments. For purposes of § 1026.37</w:t>
      </w:r>
      <w:r w:rsidR="00133ED9" w:rsidRPr="00B05586">
        <w:rPr>
          <w:b/>
          <w:i/>
        </w:rPr>
        <w:t xml:space="preserve"> [the Loan Estimate]</w:t>
      </w:r>
      <w:r w:rsidRPr="00B05586">
        <w:rPr>
          <w:b/>
          <w:i/>
        </w:rPr>
        <w:t>,</w:t>
      </w:r>
      <w:r w:rsidRPr="00B05586">
        <w:rPr>
          <w:i/>
        </w:rPr>
        <w:t xml:space="preserve"> the term </w:t>
      </w:r>
      <w:r w:rsidRPr="00B05586">
        <w:rPr>
          <w:b/>
          <w:i/>
        </w:rPr>
        <w:t>“unit-period”</w:t>
      </w:r>
      <w:r w:rsidRPr="00B05586">
        <w:rPr>
          <w:i/>
        </w:rPr>
        <w:t xml:space="preserve"> has the same meaning</w:t>
      </w:r>
      <w:r w:rsidR="009549F1" w:rsidRPr="00B05586">
        <w:rPr>
          <w:i/>
        </w:rPr>
        <w:t xml:space="preserve"> </w:t>
      </w:r>
      <w:r w:rsidRPr="00B05586">
        <w:rPr>
          <w:i/>
        </w:rPr>
        <w:t>as in appendix J to Regulation Z.</w:t>
      </w:r>
    </w:p>
    <w:p w:rsidR="009549F1" w:rsidRPr="00B05586" w:rsidRDefault="009549F1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9773E5" w:rsidRPr="00B05586" w:rsidRDefault="009773E5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5. </w:t>
      </w:r>
      <w:r w:rsidRPr="00B05586">
        <w:rPr>
          <w:b/>
          <w:i/>
          <w:iCs/>
        </w:rPr>
        <w:t>Additional page.</w:t>
      </w:r>
      <w:r w:rsidRPr="00B05586">
        <w:rPr>
          <w:i/>
          <w:iCs/>
        </w:rPr>
        <w:t xml:space="preserve"> </w:t>
      </w:r>
      <w:r w:rsidRPr="00B05586">
        <w:rPr>
          <w:i/>
        </w:rPr>
        <w:t xml:space="preserve">Information required or permitted to be disclosed by § 1026.37 </w:t>
      </w:r>
      <w:r w:rsidR="00133ED9" w:rsidRPr="00B05586">
        <w:rPr>
          <w:b/>
          <w:i/>
        </w:rPr>
        <w:t>[the Loan Estimate]</w:t>
      </w:r>
      <w:r w:rsidR="00133ED9" w:rsidRPr="00B05586">
        <w:rPr>
          <w:i/>
        </w:rPr>
        <w:t xml:space="preserve"> </w:t>
      </w:r>
      <w:r w:rsidRPr="00B05586">
        <w:rPr>
          <w:i/>
        </w:rPr>
        <w:t>on a</w:t>
      </w:r>
      <w:r w:rsidR="009549F1" w:rsidRPr="00B05586">
        <w:rPr>
          <w:i/>
        </w:rPr>
        <w:t xml:space="preserve"> </w:t>
      </w:r>
      <w:r w:rsidRPr="00B05586">
        <w:rPr>
          <w:i/>
        </w:rPr>
        <w:t>separate page should be formatted similarly to form H-24 of appendix H to this part, so as not to</w:t>
      </w:r>
      <w:r w:rsidR="009549F1" w:rsidRPr="00B05586">
        <w:rPr>
          <w:i/>
        </w:rPr>
        <w:t xml:space="preserve"> </w:t>
      </w:r>
      <w:r w:rsidRPr="00B05586">
        <w:rPr>
          <w:i/>
        </w:rPr>
        <w:t>affect the substance, clarity, or meaningful sequence of the disclosure. In addition, information</w:t>
      </w:r>
      <w:r w:rsidR="009549F1" w:rsidRPr="00B05586">
        <w:rPr>
          <w:i/>
        </w:rPr>
        <w:t xml:space="preserve"> </w:t>
      </w:r>
      <w:r w:rsidRPr="00B05586">
        <w:rPr>
          <w:i/>
        </w:rPr>
        <w:t>provided on additional pages should be consolidated on as few pages as necessary to not affect</w:t>
      </w:r>
      <w:r w:rsidR="009549F1" w:rsidRPr="00B05586">
        <w:rPr>
          <w:i/>
        </w:rPr>
        <w:t xml:space="preserve"> </w:t>
      </w:r>
      <w:r w:rsidRPr="00B05586">
        <w:rPr>
          <w:i/>
        </w:rPr>
        <w:t>the substance, clarity, or meaningful sequence of the disclosure.</w:t>
      </w:r>
    </w:p>
    <w:p w:rsidR="009549F1" w:rsidRPr="00B05586" w:rsidRDefault="009549F1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</w:p>
    <w:p w:rsidR="009773E5" w:rsidRPr="00B05586" w:rsidRDefault="009773E5" w:rsidP="009773E5">
      <w:pPr>
        <w:autoSpaceDE w:val="0"/>
        <w:autoSpaceDN w:val="0"/>
        <w:adjustRightInd w:val="0"/>
        <w:spacing w:after="0" w:line="240" w:lineRule="auto"/>
        <w:ind w:firstLine="0"/>
        <w:rPr>
          <w:i/>
        </w:rPr>
      </w:pPr>
      <w:r w:rsidRPr="00B05586">
        <w:rPr>
          <w:i/>
        </w:rPr>
        <w:t xml:space="preserve">6. </w:t>
      </w:r>
      <w:r w:rsidRPr="00B05586">
        <w:rPr>
          <w:b/>
          <w:i/>
          <w:iCs/>
        </w:rPr>
        <w:t>Translation</w:t>
      </w:r>
      <w:r w:rsidRPr="00B05586">
        <w:rPr>
          <w:b/>
          <w:i/>
        </w:rPr>
        <w:t>.</w:t>
      </w:r>
      <w:r w:rsidRPr="00B05586">
        <w:rPr>
          <w:i/>
        </w:rPr>
        <w:t xml:space="preserve"> Section 1026.37(o)(5)(ii) </w:t>
      </w:r>
      <w:r w:rsidR="00133ED9" w:rsidRPr="00B05586">
        <w:rPr>
          <w:b/>
          <w:i/>
        </w:rPr>
        <w:t>[</w:t>
      </w:r>
      <w:r w:rsidR="007C7A6B" w:rsidRPr="00B05586">
        <w:rPr>
          <w:b/>
          <w:i/>
        </w:rPr>
        <w:t>78</w:t>
      </w:r>
      <w:r w:rsidR="00133ED9" w:rsidRPr="00B05586">
        <w:rPr>
          <w:b/>
          <w:i/>
        </w:rPr>
        <w:t>]</w:t>
      </w:r>
      <w:r w:rsidR="00133ED9" w:rsidRPr="00B05586">
        <w:rPr>
          <w:i/>
        </w:rPr>
        <w:t xml:space="preserve"> </w:t>
      </w:r>
      <w:r w:rsidRPr="00B05586">
        <w:rPr>
          <w:i/>
        </w:rPr>
        <w:t>permits the translation of form H-24 into</w:t>
      </w:r>
      <w:r w:rsidR="009549F1" w:rsidRPr="00B05586">
        <w:rPr>
          <w:i/>
        </w:rPr>
        <w:t xml:space="preserve"> </w:t>
      </w:r>
      <w:r w:rsidRPr="00B05586">
        <w:rPr>
          <w:i/>
        </w:rPr>
        <w:t>languages other than English, consistent with § 1026.27. Pursuant to § 1026.37(o)(5)(ii)</w:t>
      </w:r>
      <w:r w:rsidR="009549F1" w:rsidRPr="00B05586">
        <w:rPr>
          <w:i/>
        </w:rPr>
        <w:t xml:space="preserve"> </w:t>
      </w:r>
      <w:r w:rsidR="00133ED9" w:rsidRPr="00B05586">
        <w:rPr>
          <w:b/>
          <w:i/>
        </w:rPr>
        <w:t>[</w:t>
      </w:r>
      <w:r w:rsidR="007C7A6B" w:rsidRPr="00B05586">
        <w:rPr>
          <w:b/>
          <w:i/>
        </w:rPr>
        <w:t>78</w:t>
      </w:r>
      <w:r w:rsidR="00133ED9" w:rsidRPr="00B05586">
        <w:rPr>
          <w:b/>
          <w:i/>
        </w:rPr>
        <w:t>]</w:t>
      </w:r>
      <w:r w:rsidR="00133ED9" w:rsidRPr="00B05586">
        <w:rPr>
          <w:i/>
        </w:rPr>
        <w:t xml:space="preserve"> </w:t>
      </w:r>
      <w:r w:rsidRPr="00B05586">
        <w:rPr>
          <w:i/>
        </w:rPr>
        <w:t>creditors may modify form H-24 to the extent that translation prevents the headings, labels,</w:t>
      </w:r>
      <w:r w:rsidR="009549F1" w:rsidRPr="00B05586">
        <w:rPr>
          <w:i/>
        </w:rPr>
        <w:t xml:space="preserve"> </w:t>
      </w:r>
      <w:r w:rsidRPr="00B05586">
        <w:rPr>
          <w:i/>
        </w:rPr>
        <w:t xml:space="preserve">designations, and required disclosure items under § 1026.37 </w:t>
      </w:r>
      <w:r w:rsidR="00133ED9" w:rsidRPr="00B05586">
        <w:rPr>
          <w:b/>
          <w:i/>
        </w:rPr>
        <w:t>[the Loan  Estimate]</w:t>
      </w:r>
      <w:r w:rsidR="00133ED9" w:rsidRPr="00B05586">
        <w:rPr>
          <w:i/>
        </w:rPr>
        <w:t xml:space="preserve"> </w:t>
      </w:r>
      <w:r w:rsidRPr="00B05586">
        <w:rPr>
          <w:i/>
        </w:rPr>
        <w:t>from fitting in the space provided on</w:t>
      </w:r>
      <w:r w:rsidR="009549F1" w:rsidRPr="00B05586">
        <w:rPr>
          <w:i/>
        </w:rPr>
        <w:t xml:space="preserve"> </w:t>
      </w:r>
      <w:r w:rsidRPr="00B05586">
        <w:rPr>
          <w:i/>
        </w:rPr>
        <w:t>form H-24. For example, if the translation of a required label does not fit within</w:t>
      </w:r>
      <w:r w:rsidRPr="00B05586">
        <w:rPr>
          <w:i/>
        </w:rPr>
        <w:lastRenderedPageBreak/>
        <w:t xml:space="preserve"> the line</w:t>
      </w:r>
      <w:r w:rsidR="009549F1" w:rsidRPr="00B05586">
        <w:rPr>
          <w:i/>
        </w:rPr>
        <w:t xml:space="preserve"> </w:t>
      </w:r>
      <w:r w:rsidRPr="00B05586">
        <w:rPr>
          <w:i/>
        </w:rPr>
        <w:t>provided for such label in form H-24, the label may be disclosed over two lines. See form H-28</w:t>
      </w:r>
      <w:r w:rsidR="009549F1" w:rsidRPr="00B05586">
        <w:rPr>
          <w:i/>
        </w:rPr>
        <w:t xml:space="preserve"> </w:t>
      </w:r>
      <w:r w:rsidRPr="00B05586">
        <w:rPr>
          <w:i/>
        </w:rPr>
        <w:t>of appendix H to this part for Spanish translations of form H-24.</w:t>
      </w:r>
    </w:p>
    <w:p w:rsidR="009773E5" w:rsidRDefault="009773E5" w:rsidP="009773E5"/>
    <w:p w:rsidR="00631103" w:rsidRDefault="00631103" w:rsidP="009773E5"/>
    <w:p w:rsidR="00631103" w:rsidRDefault="00631103" w:rsidP="00631103">
      <w:pPr>
        <w:pStyle w:val="Heading3"/>
      </w:pPr>
      <w:r>
        <w:t>CFPB Guide</w:t>
      </w:r>
    </w:p>
    <w:p w:rsidR="00631103" w:rsidRPr="008C7B4C" w:rsidRDefault="00631103" w:rsidP="00631103">
      <w:r>
        <w:t>None.</w:t>
      </w:r>
    </w:p>
    <w:sectPr w:rsidR="00631103" w:rsidRPr="008C7B4C" w:rsidSect="0007073D">
      <w:headerReference w:type="default" r:id="rId8"/>
      <w:footerReference w:type="first" r:id="rId9"/>
      <w:pgSz w:w="12240" w:h="15840"/>
      <w:pgMar w:top="1152" w:right="1195" w:bottom="1152" w:left="1195" w:header="662" w:footer="66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CE" w:rsidRDefault="00885ECE">
      <w:r>
        <w:separator/>
      </w:r>
    </w:p>
  </w:endnote>
  <w:endnote w:type="continuationSeparator" w:id="0">
    <w:p w:rsidR="00885ECE" w:rsidRDefault="0088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Demi Bold">
    <w:altName w:val="Avenir Next D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BD" w:rsidRDefault="002D5BBD" w:rsidP="001C147F">
    <w:pPr>
      <w:pStyle w:val="Footer"/>
    </w:pPr>
  </w:p>
  <w:p w:rsidR="002D5BBD" w:rsidRDefault="002D5BBD" w:rsidP="001C147F">
    <w:pPr>
      <w:pStyle w:val="Footer"/>
    </w:pPr>
    <w:r>
      <w:t xml:space="preserve">Young &amp; Associates, Inc. •  www.younginc.com  •  Page </w:t>
    </w:r>
    <w:r>
      <w:fldChar w:fldCharType="begin"/>
    </w:r>
    <w:r>
      <w:instrText xml:space="preserve"> PAGE </w:instrText>
    </w:r>
    <w:r>
      <w:fldChar w:fldCharType="separate"/>
    </w:r>
    <w:r w:rsidR="00B419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CE" w:rsidRDefault="00885ECE">
      <w:r>
        <w:separator/>
      </w:r>
    </w:p>
  </w:footnote>
  <w:footnote w:type="continuationSeparator" w:id="0">
    <w:p w:rsidR="00885ECE" w:rsidRDefault="0088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BD" w:rsidRDefault="002D5BBD" w:rsidP="00782AEF">
    <w:pPr>
      <w:pStyle w:val="Header"/>
      <w:rPr>
        <w:szCs w:val="18"/>
        <w:vertAlign w:val="superscript"/>
      </w:rPr>
    </w:pPr>
    <w:r>
      <w:t>Loan Estimate Completion and Audit Instructions</w:t>
    </w:r>
    <w:r>
      <w:rPr>
        <w:szCs w:val="18"/>
        <w:vertAlign w:val="superscript"/>
      </w:rPr>
      <w:pict>
        <v:rect id="_x0000_i1025" style="width:0;height:1.5pt" o:hralign="center" o:hrstd="t" o:hr="t" fillcolor="#4b8d84" stroked="f"/>
      </w:pict>
    </w:r>
  </w:p>
  <w:p w:rsidR="002D5BBD" w:rsidRDefault="002D5BBD" w:rsidP="002F3D0B">
    <w:pPr>
      <w:pStyle w:val="Header"/>
    </w:pPr>
  </w:p>
  <w:p w:rsidR="002D5BBD" w:rsidRPr="000421EB" w:rsidRDefault="002D5BBD" w:rsidP="007534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48F6"/>
    <w:multiLevelType w:val="multilevel"/>
    <w:tmpl w:val="4130431E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entury Schoolbook" w:hAnsi="Century Schoolbook" w:hint="default"/>
        <w:sz w:val="22"/>
        <w:szCs w:val="22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  <w:rPr>
        <w:rFonts w:hint="default"/>
      </w:rPr>
    </w:lvl>
  </w:abstractNum>
  <w:abstractNum w:abstractNumId="1" w15:restartNumberingAfterBreak="0">
    <w:nsid w:val="3CA2473B"/>
    <w:multiLevelType w:val="multilevel"/>
    <w:tmpl w:val="CDEEACCA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4128A"/>
    <w:multiLevelType w:val="multilevel"/>
    <w:tmpl w:val="C99E4358"/>
    <w:lvl w:ilvl="0">
      <w:start w:val="1"/>
      <w:numFmt w:val="lowerLetter"/>
      <w:pStyle w:val="Reg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792"/>
        </w:tabs>
        <w:ind w:left="792" w:hanging="360"/>
      </w:pPr>
      <w:rPr>
        <w:rFonts w:ascii="Century Schoolbook" w:hAnsi="Century Schoolbook" w:hint="default"/>
        <w:sz w:val="22"/>
        <w:szCs w:val="22"/>
      </w:rPr>
    </w:lvl>
    <w:lvl w:ilvl="3">
      <w:start w:val="1"/>
      <w:numFmt w:val="upperLetter"/>
      <w:lvlText w:val="(%4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noPunctuationKerning/>
  <w:characterSpacingControl w:val="doNotCompress"/>
  <w:hdrShapeDefaults>
    <o:shapedefaults v:ext="edit" spidmax="2049" o:allowoverlap="f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2"/>
    <w:rsid w:val="000002A5"/>
    <w:rsid w:val="0000089C"/>
    <w:rsid w:val="00001771"/>
    <w:rsid w:val="00002340"/>
    <w:rsid w:val="00002ADB"/>
    <w:rsid w:val="000032FB"/>
    <w:rsid w:val="00003333"/>
    <w:rsid w:val="00003B07"/>
    <w:rsid w:val="000109B0"/>
    <w:rsid w:val="000151C9"/>
    <w:rsid w:val="000175EC"/>
    <w:rsid w:val="00017AAB"/>
    <w:rsid w:val="00020B7C"/>
    <w:rsid w:val="0002149D"/>
    <w:rsid w:val="0002419A"/>
    <w:rsid w:val="0002477E"/>
    <w:rsid w:val="00025BA7"/>
    <w:rsid w:val="00027B6A"/>
    <w:rsid w:val="00033205"/>
    <w:rsid w:val="000405E5"/>
    <w:rsid w:val="000421EB"/>
    <w:rsid w:val="00043B9E"/>
    <w:rsid w:val="000468B0"/>
    <w:rsid w:val="00047D72"/>
    <w:rsid w:val="00050D39"/>
    <w:rsid w:val="0005300D"/>
    <w:rsid w:val="00055122"/>
    <w:rsid w:val="000618F1"/>
    <w:rsid w:val="0006266A"/>
    <w:rsid w:val="00062E2F"/>
    <w:rsid w:val="00065560"/>
    <w:rsid w:val="00066C35"/>
    <w:rsid w:val="0007073D"/>
    <w:rsid w:val="000715ED"/>
    <w:rsid w:val="0007458D"/>
    <w:rsid w:val="00075071"/>
    <w:rsid w:val="00081AA6"/>
    <w:rsid w:val="00086867"/>
    <w:rsid w:val="00087668"/>
    <w:rsid w:val="00087B24"/>
    <w:rsid w:val="00090630"/>
    <w:rsid w:val="000953D7"/>
    <w:rsid w:val="00095488"/>
    <w:rsid w:val="000A1DD8"/>
    <w:rsid w:val="000A3761"/>
    <w:rsid w:val="000A6585"/>
    <w:rsid w:val="000B00D3"/>
    <w:rsid w:val="000B6872"/>
    <w:rsid w:val="000B71EF"/>
    <w:rsid w:val="000C5090"/>
    <w:rsid w:val="000D0765"/>
    <w:rsid w:val="000D1DBA"/>
    <w:rsid w:val="000D27AB"/>
    <w:rsid w:val="000D2FD3"/>
    <w:rsid w:val="000D331F"/>
    <w:rsid w:val="000D3440"/>
    <w:rsid w:val="000D79A5"/>
    <w:rsid w:val="000E1CD0"/>
    <w:rsid w:val="000E4AA7"/>
    <w:rsid w:val="000E4BFE"/>
    <w:rsid w:val="000E4EE2"/>
    <w:rsid w:val="000E5230"/>
    <w:rsid w:val="000E5BCA"/>
    <w:rsid w:val="000E5CDA"/>
    <w:rsid w:val="000E6F96"/>
    <w:rsid w:val="000F03A2"/>
    <w:rsid w:val="000F1A31"/>
    <w:rsid w:val="000F320B"/>
    <w:rsid w:val="000F5339"/>
    <w:rsid w:val="000F5CFA"/>
    <w:rsid w:val="0010045E"/>
    <w:rsid w:val="001030F0"/>
    <w:rsid w:val="00103E41"/>
    <w:rsid w:val="00104015"/>
    <w:rsid w:val="00104F0C"/>
    <w:rsid w:val="0010559A"/>
    <w:rsid w:val="001058DB"/>
    <w:rsid w:val="00106443"/>
    <w:rsid w:val="0011178F"/>
    <w:rsid w:val="00111BC9"/>
    <w:rsid w:val="00113EA1"/>
    <w:rsid w:val="0011564B"/>
    <w:rsid w:val="001156AA"/>
    <w:rsid w:val="0011608C"/>
    <w:rsid w:val="001209E8"/>
    <w:rsid w:val="00124989"/>
    <w:rsid w:val="0012584C"/>
    <w:rsid w:val="001259C6"/>
    <w:rsid w:val="00125FB3"/>
    <w:rsid w:val="001273B1"/>
    <w:rsid w:val="001317E8"/>
    <w:rsid w:val="00133ED9"/>
    <w:rsid w:val="00136026"/>
    <w:rsid w:val="00136A67"/>
    <w:rsid w:val="00137294"/>
    <w:rsid w:val="001372E4"/>
    <w:rsid w:val="00137FC8"/>
    <w:rsid w:val="00137FDC"/>
    <w:rsid w:val="001420E1"/>
    <w:rsid w:val="001435ED"/>
    <w:rsid w:val="001450E0"/>
    <w:rsid w:val="00147610"/>
    <w:rsid w:val="00147F70"/>
    <w:rsid w:val="00150291"/>
    <w:rsid w:val="0015105A"/>
    <w:rsid w:val="00151D5E"/>
    <w:rsid w:val="0015307D"/>
    <w:rsid w:val="00155AA9"/>
    <w:rsid w:val="00155AAC"/>
    <w:rsid w:val="00163660"/>
    <w:rsid w:val="0016619A"/>
    <w:rsid w:val="00170498"/>
    <w:rsid w:val="0017164B"/>
    <w:rsid w:val="00172293"/>
    <w:rsid w:val="00172B93"/>
    <w:rsid w:val="00174D6A"/>
    <w:rsid w:val="00177014"/>
    <w:rsid w:val="00177E97"/>
    <w:rsid w:val="00180103"/>
    <w:rsid w:val="001812FF"/>
    <w:rsid w:val="00183767"/>
    <w:rsid w:val="001871DE"/>
    <w:rsid w:val="00187E50"/>
    <w:rsid w:val="00191B49"/>
    <w:rsid w:val="00192D4F"/>
    <w:rsid w:val="00195356"/>
    <w:rsid w:val="00195EF5"/>
    <w:rsid w:val="00196E1D"/>
    <w:rsid w:val="001A10E7"/>
    <w:rsid w:val="001A1C5E"/>
    <w:rsid w:val="001A1FF8"/>
    <w:rsid w:val="001A43CB"/>
    <w:rsid w:val="001A4D62"/>
    <w:rsid w:val="001A6123"/>
    <w:rsid w:val="001A71C6"/>
    <w:rsid w:val="001A727B"/>
    <w:rsid w:val="001A79D2"/>
    <w:rsid w:val="001A7E0F"/>
    <w:rsid w:val="001B3083"/>
    <w:rsid w:val="001B385C"/>
    <w:rsid w:val="001B47B4"/>
    <w:rsid w:val="001B5FDE"/>
    <w:rsid w:val="001B61CE"/>
    <w:rsid w:val="001B6619"/>
    <w:rsid w:val="001B6B02"/>
    <w:rsid w:val="001B6D75"/>
    <w:rsid w:val="001B6E67"/>
    <w:rsid w:val="001B768D"/>
    <w:rsid w:val="001C147F"/>
    <w:rsid w:val="001C1AA8"/>
    <w:rsid w:val="001C3D19"/>
    <w:rsid w:val="001C43C6"/>
    <w:rsid w:val="001C46F8"/>
    <w:rsid w:val="001C5487"/>
    <w:rsid w:val="001C67BB"/>
    <w:rsid w:val="001C6B1D"/>
    <w:rsid w:val="001D00C2"/>
    <w:rsid w:val="001D0166"/>
    <w:rsid w:val="001D0406"/>
    <w:rsid w:val="001D233E"/>
    <w:rsid w:val="001D312C"/>
    <w:rsid w:val="001D5A7A"/>
    <w:rsid w:val="001D62F8"/>
    <w:rsid w:val="001D67F0"/>
    <w:rsid w:val="001E08A3"/>
    <w:rsid w:val="001E1625"/>
    <w:rsid w:val="001E1E4E"/>
    <w:rsid w:val="001E2BDA"/>
    <w:rsid w:val="001E5D2B"/>
    <w:rsid w:val="001E7275"/>
    <w:rsid w:val="001E74EA"/>
    <w:rsid w:val="001F1A78"/>
    <w:rsid w:val="001F4248"/>
    <w:rsid w:val="001F4B5E"/>
    <w:rsid w:val="001F55F2"/>
    <w:rsid w:val="001F6744"/>
    <w:rsid w:val="001F7746"/>
    <w:rsid w:val="0020255F"/>
    <w:rsid w:val="00203286"/>
    <w:rsid w:val="00210BA5"/>
    <w:rsid w:val="0021195F"/>
    <w:rsid w:val="0021214C"/>
    <w:rsid w:val="0021304B"/>
    <w:rsid w:val="00214979"/>
    <w:rsid w:val="0021731C"/>
    <w:rsid w:val="0022029A"/>
    <w:rsid w:val="00220A41"/>
    <w:rsid w:val="00221669"/>
    <w:rsid w:val="0022473F"/>
    <w:rsid w:val="00224A70"/>
    <w:rsid w:val="00226C24"/>
    <w:rsid w:val="00231119"/>
    <w:rsid w:val="002316AF"/>
    <w:rsid w:val="00231D93"/>
    <w:rsid w:val="00234DD3"/>
    <w:rsid w:val="00235337"/>
    <w:rsid w:val="002357A9"/>
    <w:rsid w:val="00236C4D"/>
    <w:rsid w:val="00237965"/>
    <w:rsid w:val="00240DA5"/>
    <w:rsid w:val="00241595"/>
    <w:rsid w:val="002418C5"/>
    <w:rsid w:val="00241E4F"/>
    <w:rsid w:val="00241FAB"/>
    <w:rsid w:val="002442D9"/>
    <w:rsid w:val="0024626B"/>
    <w:rsid w:val="00246CBA"/>
    <w:rsid w:val="00247CC8"/>
    <w:rsid w:val="0025089D"/>
    <w:rsid w:val="0025200A"/>
    <w:rsid w:val="002543D5"/>
    <w:rsid w:val="002563D9"/>
    <w:rsid w:val="002603D6"/>
    <w:rsid w:val="0026042D"/>
    <w:rsid w:val="00260C67"/>
    <w:rsid w:val="002618A2"/>
    <w:rsid w:val="00265C85"/>
    <w:rsid w:val="00267EB9"/>
    <w:rsid w:val="00270486"/>
    <w:rsid w:val="0027303D"/>
    <w:rsid w:val="00275F50"/>
    <w:rsid w:val="00276659"/>
    <w:rsid w:val="0027673E"/>
    <w:rsid w:val="0027756D"/>
    <w:rsid w:val="00277CA1"/>
    <w:rsid w:val="00277E8B"/>
    <w:rsid w:val="00281036"/>
    <w:rsid w:val="0028119B"/>
    <w:rsid w:val="00283690"/>
    <w:rsid w:val="00285F03"/>
    <w:rsid w:val="002865BF"/>
    <w:rsid w:val="002909AD"/>
    <w:rsid w:val="0029167B"/>
    <w:rsid w:val="00293188"/>
    <w:rsid w:val="002931AC"/>
    <w:rsid w:val="0029358B"/>
    <w:rsid w:val="00293760"/>
    <w:rsid w:val="00294E34"/>
    <w:rsid w:val="002970B8"/>
    <w:rsid w:val="00297902"/>
    <w:rsid w:val="002A1B9F"/>
    <w:rsid w:val="002A2910"/>
    <w:rsid w:val="002A57C7"/>
    <w:rsid w:val="002A785C"/>
    <w:rsid w:val="002B0008"/>
    <w:rsid w:val="002B0818"/>
    <w:rsid w:val="002B29BF"/>
    <w:rsid w:val="002B2A3B"/>
    <w:rsid w:val="002B2E39"/>
    <w:rsid w:val="002B3311"/>
    <w:rsid w:val="002B376F"/>
    <w:rsid w:val="002B3C27"/>
    <w:rsid w:val="002B428E"/>
    <w:rsid w:val="002B463D"/>
    <w:rsid w:val="002B6881"/>
    <w:rsid w:val="002C1A87"/>
    <w:rsid w:val="002C3443"/>
    <w:rsid w:val="002C3AAA"/>
    <w:rsid w:val="002C4067"/>
    <w:rsid w:val="002C790E"/>
    <w:rsid w:val="002D1963"/>
    <w:rsid w:val="002D1AEE"/>
    <w:rsid w:val="002D3075"/>
    <w:rsid w:val="002D5BBD"/>
    <w:rsid w:val="002E27CF"/>
    <w:rsid w:val="002E2D75"/>
    <w:rsid w:val="002E2E2F"/>
    <w:rsid w:val="002E5BA8"/>
    <w:rsid w:val="002F0102"/>
    <w:rsid w:val="002F0136"/>
    <w:rsid w:val="002F3D0B"/>
    <w:rsid w:val="002F724F"/>
    <w:rsid w:val="00300114"/>
    <w:rsid w:val="00300C36"/>
    <w:rsid w:val="00301F91"/>
    <w:rsid w:val="00302768"/>
    <w:rsid w:val="00303033"/>
    <w:rsid w:val="00303145"/>
    <w:rsid w:val="00303954"/>
    <w:rsid w:val="00303CDE"/>
    <w:rsid w:val="003054B5"/>
    <w:rsid w:val="0030556A"/>
    <w:rsid w:val="00305F59"/>
    <w:rsid w:val="00310AA7"/>
    <w:rsid w:val="00311652"/>
    <w:rsid w:val="00314208"/>
    <w:rsid w:val="0031486C"/>
    <w:rsid w:val="00315D46"/>
    <w:rsid w:val="003167B9"/>
    <w:rsid w:val="00321039"/>
    <w:rsid w:val="00322369"/>
    <w:rsid w:val="00322C37"/>
    <w:rsid w:val="003233E1"/>
    <w:rsid w:val="00324172"/>
    <w:rsid w:val="00326C77"/>
    <w:rsid w:val="00330E9A"/>
    <w:rsid w:val="00331539"/>
    <w:rsid w:val="00333027"/>
    <w:rsid w:val="00336248"/>
    <w:rsid w:val="00337C89"/>
    <w:rsid w:val="00342969"/>
    <w:rsid w:val="00342D94"/>
    <w:rsid w:val="00345DE8"/>
    <w:rsid w:val="00351623"/>
    <w:rsid w:val="0035196F"/>
    <w:rsid w:val="00353062"/>
    <w:rsid w:val="00353CCD"/>
    <w:rsid w:val="00356B5C"/>
    <w:rsid w:val="00356F01"/>
    <w:rsid w:val="00361E8E"/>
    <w:rsid w:val="00363C7F"/>
    <w:rsid w:val="0036425F"/>
    <w:rsid w:val="00366EEF"/>
    <w:rsid w:val="00367DE3"/>
    <w:rsid w:val="00371C75"/>
    <w:rsid w:val="00371CAF"/>
    <w:rsid w:val="00372CCA"/>
    <w:rsid w:val="00372FE1"/>
    <w:rsid w:val="0037500D"/>
    <w:rsid w:val="0037647D"/>
    <w:rsid w:val="00381B8C"/>
    <w:rsid w:val="00383283"/>
    <w:rsid w:val="00383BB2"/>
    <w:rsid w:val="0038456E"/>
    <w:rsid w:val="00384E20"/>
    <w:rsid w:val="00385212"/>
    <w:rsid w:val="00385C33"/>
    <w:rsid w:val="00386803"/>
    <w:rsid w:val="00387782"/>
    <w:rsid w:val="003902A0"/>
    <w:rsid w:val="00391D29"/>
    <w:rsid w:val="0039414B"/>
    <w:rsid w:val="00397122"/>
    <w:rsid w:val="003A0155"/>
    <w:rsid w:val="003A45DE"/>
    <w:rsid w:val="003A6B64"/>
    <w:rsid w:val="003A75EF"/>
    <w:rsid w:val="003B1239"/>
    <w:rsid w:val="003B3936"/>
    <w:rsid w:val="003B4FF4"/>
    <w:rsid w:val="003B5C38"/>
    <w:rsid w:val="003B5D9E"/>
    <w:rsid w:val="003B5F4E"/>
    <w:rsid w:val="003B6DA2"/>
    <w:rsid w:val="003B7B34"/>
    <w:rsid w:val="003C0171"/>
    <w:rsid w:val="003C2501"/>
    <w:rsid w:val="003C45AC"/>
    <w:rsid w:val="003C5F3A"/>
    <w:rsid w:val="003C5F7B"/>
    <w:rsid w:val="003C611F"/>
    <w:rsid w:val="003C649D"/>
    <w:rsid w:val="003C7872"/>
    <w:rsid w:val="003D07B0"/>
    <w:rsid w:val="003D0AB3"/>
    <w:rsid w:val="003D3B7F"/>
    <w:rsid w:val="003D5DE8"/>
    <w:rsid w:val="003D67F8"/>
    <w:rsid w:val="003D7B96"/>
    <w:rsid w:val="003D7F72"/>
    <w:rsid w:val="003E014E"/>
    <w:rsid w:val="003E07A4"/>
    <w:rsid w:val="003E0C7E"/>
    <w:rsid w:val="003E255E"/>
    <w:rsid w:val="003E2704"/>
    <w:rsid w:val="003E604D"/>
    <w:rsid w:val="003E6D48"/>
    <w:rsid w:val="003F3959"/>
    <w:rsid w:val="003F3A21"/>
    <w:rsid w:val="003F43D8"/>
    <w:rsid w:val="003F58EB"/>
    <w:rsid w:val="003F5B79"/>
    <w:rsid w:val="003F5D11"/>
    <w:rsid w:val="003F603A"/>
    <w:rsid w:val="003F690C"/>
    <w:rsid w:val="004018EB"/>
    <w:rsid w:val="00401C12"/>
    <w:rsid w:val="004054A7"/>
    <w:rsid w:val="00406153"/>
    <w:rsid w:val="00406F88"/>
    <w:rsid w:val="004074A5"/>
    <w:rsid w:val="00407CE0"/>
    <w:rsid w:val="004126A6"/>
    <w:rsid w:val="00413321"/>
    <w:rsid w:val="00416A25"/>
    <w:rsid w:val="00416FD7"/>
    <w:rsid w:val="0042149A"/>
    <w:rsid w:val="00421A9C"/>
    <w:rsid w:val="00422188"/>
    <w:rsid w:val="00423C41"/>
    <w:rsid w:val="00424230"/>
    <w:rsid w:val="00425710"/>
    <w:rsid w:val="004264E4"/>
    <w:rsid w:val="00426641"/>
    <w:rsid w:val="00427A4B"/>
    <w:rsid w:val="00432265"/>
    <w:rsid w:val="00435290"/>
    <w:rsid w:val="00435C66"/>
    <w:rsid w:val="0043613A"/>
    <w:rsid w:val="00442393"/>
    <w:rsid w:val="004436FD"/>
    <w:rsid w:val="0044387A"/>
    <w:rsid w:val="00443E8C"/>
    <w:rsid w:val="00443EE5"/>
    <w:rsid w:val="00445BFD"/>
    <w:rsid w:val="00446A8C"/>
    <w:rsid w:val="004512E0"/>
    <w:rsid w:val="00451548"/>
    <w:rsid w:val="0045258D"/>
    <w:rsid w:val="00454683"/>
    <w:rsid w:val="00455076"/>
    <w:rsid w:val="00455F3B"/>
    <w:rsid w:val="0045722A"/>
    <w:rsid w:val="00457D19"/>
    <w:rsid w:val="00457D80"/>
    <w:rsid w:val="0046249F"/>
    <w:rsid w:val="00462AEA"/>
    <w:rsid w:val="00462EC2"/>
    <w:rsid w:val="004643BB"/>
    <w:rsid w:val="00464E82"/>
    <w:rsid w:val="004656F1"/>
    <w:rsid w:val="004660BF"/>
    <w:rsid w:val="00467CE4"/>
    <w:rsid w:val="00471281"/>
    <w:rsid w:val="0047267F"/>
    <w:rsid w:val="0047299F"/>
    <w:rsid w:val="004734B2"/>
    <w:rsid w:val="00475FA2"/>
    <w:rsid w:val="0047623F"/>
    <w:rsid w:val="0047687C"/>
    <w:rsid w:val="00477898"/>
    <w:rsid w:val="00480129"/>
    <w:rsid w:val="00480C1C"/>
    <w:rsid w:val="00480C5C"/>
    <w:rsid w:val="00481509"/>
    <w:rsid w:val="00482A03"/>
    <w:rsid w:val="00482F94"/>
    <w:rsid w:val="00484FC8"/>
    <w:rsid w:val="004854DD"/>
    <w:rsid w:val="004859B8"/>
    <w:rsid w:val="00486857"/>
    <w:rsid w:val="00486D7C"/>
    <w:rsid w:val="00486FFE"/>
    <w:rsid w:val="004902D2"/>
    <w:rsid w:val="00491773"/>
    <w:rsid w:val="00492C28"/>
    <w:rsid w:val="004947DF"/>
    <w:rsid w:val="00494961"/>
    <w:rsid w:val="004A1027"/>
    <w:rsid w:val="004A52F7"/>
    <w:rsid w:val="004A53A4"/>
    <w:rsid w:val="004A6238"/>
    <w:rsid w:val="004B0C24"/>
    <w:rsid w:val="004B1547"/>
    <w:rsid w:val="004B4FD6"/>
    <w:rsid w:val="004B7B79"/>
    <w:rsid w:val="004B7D59"/>
    <w:rsid w:val="004C4098"/>
    <w:rsid w:val="004C5E0F"/>
    <w:rsid w:val="004C70D3"/>
    <w:rsid w:val="004C7825"/>
    <w:rsid w:val="004D14A8"/>
    <w:rsid w:val="004D2148"/>
    <w:rsid w:val="004D4403"/>
    <w:rsid w:val="004D6556"/>
    <w:rsid w:val="004D7710"/>
    <w:rsid w:val="004E34F9"/>
    <w:rsid w:val="004E4AF1"/>
    <w:rsid w:val="004E5F7E"/>
    <w:rsid w:val="004E6241"/>
    <w:rsid w:val="004F1399"/>
    <w:rsid w:val="004F426D"/>
    <w:rsid w:val="004F4624"/>
    <w:rsid w:val="004F4A35"/>
    <w:rsid w:val="004F55AC"/>
    <w:rsid w:val="004F62BD"/>
    <w:rsid w:val="004F742D"/>
    <w:rsid w:val="005010D7"/>
    <w:rsid w:val="00503D22"/>
    <w:rsid w:val="005057D3"/>
    <w:rsid w:val="00507368"/>
    <w:rsid w:val="00507C1E"/>
    <w:rsid w:val="00510348"/>
    <w:rsid w:val="00510C56"/>
    <w:rsid w:val="005124A9"/>
    <w:rsid w:val="00512E53"/>
    <w:rsid w:val="00514405"/>
    <w:rsid w:val="005224AC"/>
    <w:rsid w:val="00527A61"/>
    <w:rsid w:val="00533A60"/>
    <w:rsid w:val="00534965"/>
    <w:rsid w:val="00534B1D"/>
    <w:rsid w:val="00542CA7"/>
    <w:rsid w:val="005502DA"/>
    <w:rsid w:val="00552C07"/>
    <w:rsid w:val="00553CD0"/>
    <w:rsid w:val="0055486A"/>
    <w:rsid w:val="00561123"/>
    <w:rsid w:val="00561862"/>
    <w:rsid w:val="00562536"/>
    <w:rsid w:val="00563294"/>
    <w:rsid w:val="00565950"/>
    <w:rsid w:val="00565D62"/>
    <w:rsid w:val="005704AC"/>
    <w:rsid w:val="00570DA7"/>
    <w:rsid w:val="005714F5"/>
    <w:rsid w:val="00573D84"/>
    <w:rsid w:val="0058004B"/>
    <w:rsid w:val="00583C11"/>
    <w:rsid w:val="00585998"/>
    <w:rsid w:val="00585D83"/>
    <w:rsid w:val="0058759D"/>
    <w:rsid w:val="00587E02"/>
    <w:rsid w:val="0059084F"/>
    <w:rsid w:val="0059198E"/>
    <w:rsid w:val="005943CC"/>
    <w:rsid w:val="00595F7A"/>
    <w:rsid w:val="00596ECE"/>
    <w:rsid w:val="00597445"/>
    <w:rsid w:val="005A1554"/>
    <w:rsid w:val="005A2427"/>
    <w:rsid w:val="005A264F"/>
    <w:rsid w:val="005A3612"/>
    <w:rsid w:val="005A6493"/>
    <w:rsid w:val="005A65C9"/>
    <w:rsid w:val="005A74B2"/>
    <w:rsid w:val="005B1BDF"/>
    <w:rsid w:val="005B45AF"/>
    <w:rsid w:val="005B4FCB"/>
    <w:rsid w:val="005B5A30"/>
    <w:rsid w:val="005C0269"/>
    <w:rsid w:val="005C20FF"/>
    <w:rsid w:val="005C285E"/>
    <w:rsid w:val="005C4557"/>
    <w:rsid w:val="005C53C1"/>
    <w:rsid w:val="005D1B83"/>
    <w:rsid w:val="005D2774"/>
    <w:rsid w:val="005D345C"/>
    <w:rsid w:val="005D3CE5"/>
    <w:rsid w:val="005D5D2A"/>
    <w:rsid w:val="005D79D1"/>
    <w:rsid w:val="005D7D05"/>
    <w:rsid w:val="005D7E3D"/>
    <w:rsid w:val="005D7FE5"/>
    <w:rsid w:val="005E1FC5"/>
    <w:rsid w:val="005E5114"/>
    <w:rsid w:val="005E5602"/>
    <w:rsid w:val="005E6C2E"/>
    <w:rsid w:val="005F00A6"/>
    <w:rsid w:val="005F1F1C"/>
    <w:rsid w:val="005F4C09"/>
    <w:rsid w:val="005F6FFC"/>
    <w:rsid w:val="00600A17"/>
    <w:rsid w:val="006033EB"/>
    <w:rsid w:val="00603AD3"/>
    <w:rsid w:val="00604097"/>
    <w:rsid w:val="0060467F"/>
    <w:rsid w:val="00610DDC"/>
    <w:rsid w:val="00610EB6"/>
    <w:rsid w:val="00613724"/>
    <w:rsid w:val="0061584E"/>
    <w:rsid w:val="00615D30"/>
    <w:rsid w:val="00616DFD"/>
    <w:rsid w:val="0061737B"/>
    <w:rsid w:val="00620E9C"/>
    <w:rsid w:val="0062153A"/>
    <w:rsid w:val="00626E46"/>
    <w:rsid w:val="00626EC6"/>
    <w:rsid w:val="006301DB"/>
    <w:rsid w:val="00631103"/>
    <w:rsid w:val="00631523"/>
    <w:rsid w:val="006321C3"/>
    <w:rsid w:val="00633B2A"/>
    <w:rsid w:val="00633C85"/>
    <w:rsid w:val="00634077"/>
    <w:rsid w:val="006351A6"/>
    <w:rsid w:val="00637627"/>
    <w:rsid w:val="0063772D"/>
    <w:rsid w:val="0064168D"/>
    <w:rsid w:val="00642EDF"/>
    <w:rsid w:val="00644AA0"/>
    <w:rsid w:val="00646D2D"/>
    <w:rsid w:val="006472AA"/>
    <w:rsid w:val="006476CA"/>
    <w:rsid w:val="006477AB"/>
    <w:rsid w:val="00647C55"/>
    <w:rsid w:val="006507BE"/>
    <w:rsid w:val="006507F8"/>
    <w:rsid w:val="00652FEA"/>
    <w:rsid w:val="006534C3"/>
    <w:rsid w:val="00655A4E"/>
    <w:rsid w:val="00657F36"/>
    <w:rsid w:val="0066045F"/>
    <w:rsid w:val="0066047F"/>
    <w:rsid w:val="00660718"/>
    <w:rsid w:val="00660EBB"/>
    <w:rsid w:val="006636A8"/>
    <w:rsid w:val="006658D3"/>
    <w:rsid w:val="00665B57"/>
    <w:rsid w:val="00666E86"/>
    <w:rsid w:val="00667BBF"/>
    <w:rsid w:val="00670166"/>
    <w:rsid w:val="0067192D"/>
    <w:rsid w:val="00671B43"/>
    <w:rsid w:val="006766A1"/>
    <w:rsid w:val="006770A3"/>
    <w:rsid w:val="00680FBE"/>
    <w:rsid w:val="006813BD"/>
    <w:rsid w:val="00681F3D"/>
    <w:rsid w:val="006839E7"/>
    <w:rsid w:val="00683B56"/>
    <w:rsid w:val="00684A0A"/>
    <w:rsid w:val="00686856"/>
    <w:rsid w:val="00687D16"/>
    <w:rsid w:val="00690C31"/>
    <w:rsid w:val="00691ED1"/>
    <w:rsid w:val="00692971"/>
    <w:rsid w:val="0069580B"/>
    <w:rsid w:val="00696865"/>
    <w:rsid w:val="006A0BA9"/>
    <w:rsid w:val="006A46AC"/>
    <w:rsid w:val="006A4D9B"/>
    <w:rsid w:val="006A52D0"/>
    <w:rsid w:val="006A5506"/>
    <w:rsid w:val="006A7C82"/>
    <w:rsid w:val="006B00BE"/>
    <w:rsid w:val="006B019E"/>
    <w:rsid w:val="006B0258"/>
    <w:rsid w:val="006B1970"/>
    <w:rsid w:val="006B2800"/>
    <w:rsid w:val="006C0224"/>
    <w:rsid w:val="006C116C"/>
    <w:rsid w:val="006C1834"/>
    <w:rsid w:val="006C188D"/>
    <w:rsid w:val="006C216E"/>
    <w:rsid w:val="006C31F4"/>
    <w:rsid w:val="006C423C"/>
    <w:rsid w:val="006C4A9B"/>
    <w:rsid w:val="006C62BE"/>
    <w:rsid w:val="006C6345"/>
    <w:rsid w:val="006C6A57"/>
    <w:rsid w:val="006D030A"/>
    <w:rsid w:val="006D047B"/>
    <w:rsid w:val="006D0C46"/>
    <w:rsid w:val="006D14F7"/>
    <w:rsid w:val="006D18F8"/>
    <w:rsid w:val="006D445C"/>
    <w:rsid w:val="006D63EF"/>
    <w:rsid w:val="006D7127"/>
    <w:rsid w:val="006D72D2"/>
    <w:rsid w:val="006D7794"/>
    <w:rsid w:val="006D7BAD"/>
    <w:rsid w:val="006E15C5"/>
    <w:rsid w:val="006E16B5"/>
    <w:rsid w:val="006E372B"/>
    <w:rsid w:val="006E4889"/>
    <w:rsid w:val="006E6844"/>
    <w:rsid w:val="006F1AC5"/>
    <w:rsid w:val="006F29EE"/>
    <w:rsid w:val="006F31FF"/>
    <w:rsid w:val="006F3C3E"/>
    <w:rsid w:val="006F7098"/>
    <w:rsid w:val="00703C12"/>
    <w:rsid w:val="00707586"/>
    <w:rsid w:val="007076C2"/>
    <w:rsid w:val="00707C9D"/>
    <w:rsid w:val="00712275"/>
    <w:rsid w:val="0071264F"/>
    <w:rsid w:val="0071562B"/>
    <w:rsid w:val="00720C38"/>
    <w:rsid w:val="00720F43"/>
    <w:rsid w:val="0072339D"/>
    <w:rsid w:val="007236DB"/>
    <w:rsid w:val="007259B0"/>
    <w:rsid w:val="00726FDB"/>
    <w:rsid w:val="007276CF"/>
    <w:rsid w:val="00731FD0"/>
    <w:rsid w:val="007325DF"/>
    <w:rsid w:val="007326AF"/>
    <w:rsid w:val="00734E3B"/>
    <w:rsid w:val="0073703D"/>
    <w:rsid w:val="007375D6"/>
    <w:rsid w:val="00740210"/>
    <w:rsid w:val="007412F4"/>
    <w:rsid w:val="007412F9"/>
    <w:rsid w:val="00742575"/>
    <w:rsid w:val="007425B3"/>
    <w:rsid w:val="007469EB"/>
    <w:rsid w:val="007475B3"/>
    <w:rsid w:val="00750BB2"/>
    <w:rsid w:val="007531C1"/>
    <w:rsid w:val="0075349B"/>
    <w:rsid w:val="00754697"/>
    <w:rsid w:val="00755078"/>
    <w:rsid w:val="00760C70"/>
    <w:rsid w:val="00762CF1"/>
    <w:rsid w:val="0076301A"/>
    <w:rsid w:val="007649F8"/>
    <w:rsid w:val="007660A7"/>
    <w:rsid w:val="00772448"/>
    <w:rsid w:val="00774923"/>
    <w:rsid w:val="00774C0E"/>
    <w:rsid w:val="00775579"/>
    <w:rsid w:val="00776F8A"/>
    <w:rsid w:val="00782AEF"/>
    <w:rsid w:val="00782CD6"/>
    <w:rsid w:val="00783165"/>
    <w:rsid w:val="00786C7C"/>
    <w:rsid w:val="007879A5"/>
    <w:rsid w:val="0079004C"/>
    <w:rsid w:val="007916AD"/>
    <w:rsid w:val="00793FEF"/>
    <w:rsid w:val="007940D0"/>
    <w:rsid w:val="007941F5"/>
    <w:rsid w:val="0079532E"/>
    <w:rsid w:val="007A01A3"/>
    <w:rsid w:val="007A17DA"/>
    <w:rsid w:val="007A2787"/>
    <w:rsid w:val="007A34F0"/>
    <w:rsid w:val="007A5F53"/>
    <w:rsid w:val="007A615F"/>
    <w:rsid w:val="007A7D79"/>
    <w:rsid w:val="007B0127"/>
    <w:rsid w:val="007B24B4"/>
    <w:rsid w:val="007B2C22"/>
    <w:rsid w:val="007B438E"/>
    <w:rsid w:val="007B5750"/>
    <w:rsid w:val="007B6967"/>
    <w:rsid w:val="007B6FB9"/>
    <w:rsid w:val="007B7A21"/>
    <w:rsid w:val="007C07D7"/>
    <w:rsid w:val="007C1BAF"/>
    <w:rsid w:val="007C1D1D"/>
    <w:rsid w:val="007C4667"/>
    <w:rsid w:val="007C4E4C"/>
    <w:rsid w:val="007C7A6B"/>
    <w:rsid w:val="007D2676"/>
    <w:rsid w:val="007D67C9"/>
    <w:rsid w:val="007D7D11"/>
    <w:rsid w:val="007E313F"/>
    <w:rsid w:val="007E3D3B"/>
    <w:rsid w:val="007E4079"/>
    <w:rsid w:val="007E4159"/>
    <w:rsid w:val="007E4BF6"/>
    <w:rsid w:val="007E559D"/>
    <w:rsid w:val="007E6948"/>
    <w:rsid w:val="007E7330"/>
    <w:rsid w:val="007E7AF5"/>
    <w:rsid w:val="007F1951"/>
    <w:rsid w:val="007F1C6F"/>
    <w:rsid w:val="007F2C4D"/>
    <w:rsid w:val="007F556A"/>
    <w:rsid w:val="007F6EAE"/>
    <w:rsid w:val="0080501F"/>
    <w:rsid w:val="008054FA"/>
    <w:rsid w:val="00805FAB"/>
    <w:rsid w:val="0080734D"/>
    <w:rsid w:val="008126B3"/>
    <w:rsid w:val="0081440F"/>
    <w:rsid w:val="008155C2"/>
    <w:rsid w:val="008157AB"/>
    <w:rsid w:val="00815B3A"/>
    <w:rsid w:val="00816A9D"/>
    <w:rsid w:val="00816CCE"/>
    <w:rsid w:val="00817C50"/>
    <w:rsid w:val="008219D2"/>
    <w:rsid w:val="00822484"/>
    <w:rsid w:val="00822C43"/>
    <w:rsid w:val="00822F7F"/>
    <w:rsid w:val="00823811"/>
    <w:rsid w:val="00823A37"/>
    <w:rsid w:val="00824081"/>
    <w:rsid w:val="00825788"/>
    <w:rsid w:val="00825D39"/>
    <w:rsid w:val="00826269"/>
    <w:rsid w:val="008274A0"/>
    <w:rsid w:val="00827B8A"/>
    <w:rsid w:val="0083379B"/>
    <w:rsid w:val="0083399B"/>
    <w:rsid w:val="008371F4"/>
    <w:rsid w:val="00842148"/>
    <w:rsid w:val="00842211"/>
    <w:rsid w:val="00842C0E"/>
    <w:rsid w:val="00844F34"/>
    <w:rsid w:val="00847580"/>
    <w:rsid w:val="00850DCD"/>
    <w:rsid w:val="00852ABB"/>
    <w:rsid w:val="0085390D"/>
    <w:rsid w:val="00857535"/>
    <w:rsid w:val="008617CE"/>
    <w:rsid w:val="00863019"/>
    <w:rsid w:val="008650D3"/>
    <w:rsid w:val="008657F6"/>
    <w:rsid w:val="0086698F"/>
    <w:rsid w:val="008700E8"/>
    <w:rsid w:val="00872131"/>
    <w:rsid w:val="00872FDE"/>
    <w:rsid w:val="00873E38"/>
    <w:rsid w:val="00873EEA"/>
    <w:rsid w:val="00874673"/>
    <w:rsid w:val="008760D4"/>
    <w:rsid w:val="00876B15"/>
    <w:rsid w:val="008772D2"/>
    <w:rsid w:val="0088156E"/>
    <w:rsid w:val="0088308D"/>
    <w:rsid w:val="0088478D"/>
    <w:rsid w:val="00885ECE"/>
    <w:rsid w:val="00886456"/>
    <w:rsid w:val="008867F0"/>
    <w:rsid w:val="008877A1"/>
    <w:rsid w:val="0088784C"/>
    <w:rsid w:val="00887D24"/>
    <w:rsid w:val="00891646"/>
    <w:rsid w:val="008916B6"/>
    <w:rsid w:val="008929E1"/>
    <w:rsid w:val="0089489F"/>
    <w:rsid w:val="008964B7"/>
    <w:rsid w:val="00896AB1"/>
    <w:rsid w:val="0089710C"/>
    <w:rsid w:val="008A05AE"/>
    <w:rsid w:val="008A2637"/>
    <w:rsid w:val="008A416E"/>
    <w:rsid w:val="008B43BD"/>
    <w:rsid w:val="008B44DC"/>
    <w:rsid w:val="008B5AC5"/>
    <w:rsid w:val="008B6563"/>
    <w:rsid w:val="008C03BE"/>
    <w:rsid w:val="008C1FB8"/>
    <w:rsid w:val="008C2420"/>
    <w:rsid w:val="008C45EF"/>
    <w:rsid w:val="008C6158"/>
    <w:rsid w:val="008C62BF"/>
    <w:rsid w:val="008C689E"/>
    <w:rsid w:val="008C755A"/>
    <w:rsid w:val="008C7B4C"/>
    <w:rsid w:val="008D0F81"/>
    <w:rsid w:val="008D3468"/>
    <w:rsid w:val="008D4DCC"/>
    <w:rsid w:val="008D5EB6"/>
    <w:rsid w:val="008D67C0"/>
    <w:rsid w:val="008D6909"/>
    <w:rsid w:val="008D71F8"/>
    <w:rsid w:val="008D7D7A"/>
    <w:rsid w:val="008E1669"/>
    <w:rsid w:val="008E20BA"/>
    <w:rsid w:val="008E4533"/>
    <w:rsid w:val="008E6F06"/>
    <w:rsid w:val="008F0B1B"/>
    <w:rsid w:val="008F16B0"/>
    <w:rsid w:val="008F3A72"/>
    <w:rsid w:val="008F4432"/>
    <w:rsid w:val="008F6999"/>
    <w:rsid w:val="00900E53"/>
    <w:rsid w:val="009010A2"/>
    <w:rsid w:val="00903730"/>
    <w:rsid w:val="0090469B"/>
    <w:rsid w:val="009049BD"/>
    <w:rsid w:val="00904CD2"/>
    <w:rsid w:val="00906AB1"/>
    <w:rsid w:val="00907601"/>
    <w:rsid w:val="009105B5"/>
    <w:rsid w:val="00912E4B"/>
    <w:rsid w:val="00913BE7"/>
    <w:rsid w:val="00913D69"/>
    <w:rsid w:val="00913F36"/>
    <w:rsid w:val="009149AF"/>
    <w:rsid w:val="00914BDC"/>
    <w:rsid w:val="00915B22"/>
    <w:rsid w:val="00916B99"/>
    <w:rsid w:val="00917101"/>
    <w:rsid w:val="009217C6"/>
    <w:rsid w:val="00921F71"/>
    <w:rsid w:val="009232DD"/>
    <w:rsid w:val="00923F31"/>
    <w:rsid w:val="00926BD7"/>
    <w:rsid w:val="00927053"/>
    <w:rsid w:val="00930D74"/>
    <w:rsid w:val="00931139"/>
    <w:rsid w:val="00933FDD"/>
    <w:rsid w:val="00935133"/>
    <w:rsid w:val="00935471"/>
    <w:rsid w:val="00937A04"/>
    <w:rsid w:val="00937A30"/>
    <w:rsid w:val="00937A72"/>
    <w:rsid w:val="00941FF3"/>
    <w:rsid w:val="009424B0"/>
    <w:rsid w:val="0094454E"/>
    <w:rsid w:val="00944833"/>
    <w:rsid w:val="00945F13"/>
    <w:rsid w:val="00947382"/>
    <w:rsid w:val="00947417"/>
    <w:rsid w:val="00950178"/>
    <w:rsid w:val="009507A4"/>
    <w:rsid w:val="00952651"/>
    <w:rsid w:val="00952E45"/>
    <w:rsid w:val="00953957"/>
    <w:rsid w:val="009549F1"/>
    <w:rsid w:val="0095789D"/>
    <w:rsid w:val="00961416"/>
    <w:rsid w:val="00961BDC"/>
    <w:rsid w:val="00963328"/>
    <w:rsid w:val="009657AF"/>
    <w:rsid w:val="00970014"/>
    <w:rsid w:val="00970747"/>
    <w:rsid w:val="009722B1"/>
    <w:rsid w:val="009732B7"/>
    <w:rsid w:val="0097551A"/>
    <w:rsid w:val="009758F7"/>
    <w:rsid w:val="009759AF"/>
    <w:rsid w:val="009766A3"/>
    <w:rsid w:val="00976B19"/>
    <w:rsid w:val="00976E42"/>
    <w:rsid w:val="009773E5"/>
    <w:rsid w:val="0098182D"/>
    <w:rsid w:val="009843E8"/>
    <w:rsid w:val="00985362"/>
    <w:rsid w:val="00990C74"/>
    <w:rsid w:val="00991758"/>
    <w:rsid w:val="00994221"/>
    <w:rsid w:val="0099424C"/>
    <w:rsid w:val="00994674"/>
    <w:rsid w:val="00994769"/>
    <w:rsid w:val="0099619A"/>
    <w:rsid w:val="009A15F6"/>
    <w:rsid w:val="009A26B3"/>
    <w:rsid w:val="009A437A"/>
    <w:rsid w:val="009B1719"/>
    <w:rsid w:val="009B1A4C"/>
    <w:rsid w:val="009B31C0"/>
    <w:rsid w:val="009B3336"/>
    <w:rsid w:val="009B52AB"/>
    <w:rsid w:val="009B5FE0"/>
    <w:rsid w:val="009C40F4"/>
    <w:rsid w:val="009C45B9"/>
    <w:rsid w:val="009C5423"/>
    <w:rsid w:val="009C5ECA"/>
    <w:rsid w:val="009D05EE"/>
    <w:rsid w:val="009D08D0"/>
    <w:rsid w:val="009D0EAC"/>
    <w:rsid w:val="009D2418"/>
    <w:rsid w:val="009D2420"/>
    <w:rsid w:val="009D34AA"/>
    <w:rsid w:val="009D46FD"/>
    <w:rsid w:val="009D6B2E"/>
    <w:rsid w:val="009D6DCE"/>
    <w:rsid w:val="009D7B4F"/>
    <w:rsid w:val="009E10CD"/>
    <w:rsid w:val="009E1D24"/>
    <w:rsid w:val="009E1E7B"/>
    <w:rsid w:val="009E267C"/>
    <w:rsid w:val="009E3612"/>
    <w:rsid w:val="009F5B1F"/>
    <w:rsid w:val="009F6010"/>
    <w:rsid w:val="009F6130"/>
    <w:rsid w:val="009F63B3"/>
    <w:rsid w:val="009F68C1"/>
    <w:rsid w:val="00A003E5"/>
    <w:rsid w:val="00A0079C"/>
    <w:rsid w:val="00A01484"/>
    <w:rsid w:val="00A03229"/>
    <w:rsid w:val="00A05141"/>
    <w:rsid w:val="00A0683F"/>
    <w:rsid w:val="00A07D77"/>
    <w:rsid w:val="00A07E36"/>
    <w:rsid w:val="00A10EB0"/>
    <w:rsid w:val="00A11B94"/>
    <w:rsid w:val="00A12CC3"/>
    <w:rsid w:val="00A15796"/>
    <w:rsid w:val="00A16318"/>
    <w:rsid w:val="00A16A91"/>
    <w:rsid w:val="00A1737D"/>
    <w:rsid w:val="00A21E4A"/>
    <w:rsid w:val="00A22B19"/>
    <w:rsid w:val="00A22FAA"/>
    <w:rsid w:val="00A23C5D"/>
    <w:rsid w:val="00A25A2A"/>
    <w:rsid w:val="00A31452"/>
    <w:rsid w:val="00A32B05"/>
    <w:rsid w:val="00A32E33"/>
    <w:rsid w:val="00A40542"/>
    <w:rsid w:val="00A41294"/>
    <w:rsid w:val="00A41CD3"/>
    <w:rsid w:val="00A45721"/>
    <w:rsid w:val="00A46E46"/>
    <w:rsid w:val="00A51C12"/>
    <w:rsid w:val="00A5385F"/>
    <w:rsid w:val="00A542EF"/>
    <w:rsid w:val="00A55E9D"/>
    <w:rsid w:val="00A56C7A"/>
    <w:rsid w:val="00A57C6C"/>
    <w:rsid w:val="00A629FA"/>
    <w:rsid w:val="00A70024"/>
    <w:rsid w:val="00A71CE6"/>
    <w:rsid w:val="00A73DE6"/>
    <w:rsid w:val="00A747AD"/>
    <w:rsid w:val="00A761DB"/>
    <w:rsid w:val="00A80A5E"/>
    <w:rsid w:val="00A80D90"/>
    <w:rsid w:val="00A849D9"/>
    <w:rsid w:val="00A849F7"/>
    <w:rsid w:val="00A86310"/>
    <w:rsid w:val="00A8646E"/>
    <w:rsid w:val="00A87133"/>
    <w:rsid w:val="00A928F2"/>
    <w:rsid w:val="00A93876"/>
    <w:rsid w:val="00A96514"/>
    <w:rsid w:val="00A96FB6"/>
    <w:rsid w:val="00AA22C7"/>
    <w:rsid w:val="00AA2C45"/>
    <w:rsid w:val="00AA39CA"/>
    <w:rsid w:val="00AA760B"/>
    <w:rsid w:val="00AB0FE1"/>
    <w:rsid w:val="00AB36B6"/>
    <w:rsid w:val="00AB739C"/>
    <w:rsid w:val="00AC3AEE"/>
    <w:rsid w:val="00AC416D"/>
    <w:rsid w:val="00AC4696"/>
    <w:rsid w:val="00AC4748"/>
    <w:rsid w:val="00AC4EAB"/>
    <w:rsid w:val="00AC536B"/>
    <w:rsid w:val="00AC5778"/>
    <w:rsid w:val="00AC723D"/>
    <w:rsid w:val="00AD1381"/>
    <w:rsid w:val="00AD2B2A"/>
    <w:rsid w:val="00AD4BC5"/>
    <w:rsid w:val="00AD4CC5"/>
    <w:rsid w:val="00AD59BA"/>
    <w:rsid w:val="00AD70E3"/>
    <w:rsid w:val="00AE1760"/>
    <w:rsid w:val="00AE3DF2"/>
    <w:rsid w:val="00AE4FAB"/>
    <w:rsid w:val="00AE52CB"/>
    <w:rsid w:val="00AE568B"/>
    <w:rsid w:val="00AE6627"/>
    <w:rsid w:val="00AE752B"/>
    <w:rsid w:val="00AE7719"/>
    <w:rsid w:val="00AF1537"/>
    <w:rsid w:val="00AF3CF9"/>
    <w:rsid w:val="00AF41B6"/>
    <w:rsid w:val="00AF443D"/>
    <w:rsid w:val="00AF65BE"/>
    <w:rsid w:val="00AF7903"/>
    <w:rsid w:val="00B004D8"/>
    <w:rsid w:val="00B01EAF"/>
    <w:rsid w:val="00B02AFA"/>
    <w:rsid w:val="00B02BE8"/>
    <w:rsid w:val="00B02EF8"/>
    <w:rsid w:val="00B05586"/>
    <w:rsid w:val="00B0726E"/>
    <w:rsid w:val="00B07865"/>
    <w:rsid w:val="00B103EF"/>
    <w:rsid w:val="00B107AA"/>
    <w:rsid w:val="00B10C9E"/>
    <w:rsid w:val="00B13531"/>
    <w:rsid w:val="00B1381E"/>
    <w:rsid w:val="00B14060"/>
    <w:rsid w:val="00B179E1"/>
    <w:rsid w:val="00B21A3B"/>
    <w:rsid w:val="00B229B8"/>
    <w:rsid w:val="00B231C6"/>
    <w:rsid w:val="00B23750"/>
    <w:rsid w:val="00B24327"/>
    <w:rsid w:val="00B24CDB"/>
    <w:rsid w:val="00B25288"/>
    <w:rsid w:val="00B262DE"/>
    <w:rsid w:val="00B26ECE"/>
    <w:rsid w:val="00B2702D"/>
    <w:rsid w:val="00B31021"/>
    <w:rsid w:val="00B34008"/>
    <w:rsid w:val="00B36311"/>
    <w:rsid w:val="00B37243"/>
    <w:rsid w:val="00B41966"/>
    <w:rsid w:val="00B4228F"/>
    <w:rsid w:val="00B4463C"/>
    <w:rsid w:val="00B44B69"/>
    <w:rsid w:val="00B46B72"/>
    <w:rsid w:val="00B46F3E"/>
    <w:rsid w:val="00B47AAE"/>
    <w:rsid w:val="00B502C6"/>
    <w:rsid w:val="00B511BE"/>
    <w:rsid w:val="00B51E30"/>
    <w:rsid w:val="00B5525E"/>
    <w:rsid w:val="00B55E47"/>
    <w:rsid w:val="00B56DF6"/>
    <w:rsid w:val="00B57C5B"/>
    <w:rsid w:val="00B61842"/>
    <w:rsid w:val="00B62D5F"/>
    <w:rsid w:val="00B6363D"/>
    <w:rsid w:val="00B67EBC"/>
    <w:rsid w:val="00B719BB"/>
    <w:rsid w:val="00B722BD"/>
    <w:rsid w:val="00B726D3"/>
    <w:rsid w:val="00B72AD8"/>
    <w:rsid w:val="00B73170"/>
    <w:rsid w:val="00B75FD2"/>
    <w:rsid w:val="00B76787"/>
    <w:rsid w:val="00B77950"/>
    <w:rsid w:val="00B805D8"/>
    <w:rsid w:val="00B818AB"/>
    <w:rsid w:val="00B829FB"/>
    <w:rsid w:val="00B8449D"/>
    <w:rsid w:val="00B8468A"/>
    <w:rsid w:val="00B85E65"/>
    <w:rsid w:val="00B867AF"/>
    <w:rsid w:val="00B90367"/>
    <w:rsid w:val="00B90834"/>
    <w:rsid w:val="00B931ED"/>
    <w:rsid w:val="00B94A5B"/>
    <w:rsid w:val="00B951BA"/>
    <w:rsid w:val="00B96785"/>
    <w:rsid w:val="00BA0450"/>
    <w:rsid w:val="00BA0736"/>
    <w:rsid w:val="00BA2D74"/>
    <w:rsid w:val="00BA356B"/>
    <w:rsid w:val="00BA5080"/>
    <w:rsid w:val="00BA54E3"/>
    <w:rsid w:val="00BA7C1A"/>
    <w:rsid w:val="00BA7F08"/>
    <w:rsid w:val="00BB23B7"/>
    <w:rsid w:val="00BB351D"/>
    <w:rsid w:val="00BB5F18"/>
    <w:rsid w:val="00BB745E"/>
    <w:rsid w:val="00BC1E17"/>
    <w:rsid w:val="00BC5C6E"/>
    <w:rsid w:val="00BC6D64"/>
    <w:rsid w:val="00BD0452"/>
    <w:rsid w:val="00BD0B35"/>
    <w:rsid w:val="00BD53A6"/>
    <w:rsid w:val="00BD5DD8"/>
    <w:rsid w:val="00BD6D32"/>
    <w:rsid w:val="00BD6FA1"/>
    <w:rsid w:val="00BE1680"/>
    <w:rsid w:val="00BE3DD9"/>
    <w:rsid w:val="00BE6F92"/>
    <w:rsid w:val="00BF39C2"/>
    <w:rsid w:val="00BF47F3"/>
    <w:rsid w:val="00BF5A48"/>
    <w:rsid w:val="00BF75E2"/>
    <w:rsid w:val="00C023FC"/>
    <w:rsid w:val="00C02CC7"/>
    <w:rsid w:val="00C02FDC"/>
    <w:rsid w:val="00C06064"/>
    <w:rsid w:val="00C06449"/>
    <w:rsid w:val="00C06EE9"/>
    <w:rsid w:val="00C16D52"/>
    <w:rsid w:val="00C16DF7"/>
    <w:rsid w:val="00C21198"/>
    <w:rsid w:val="00C21435"/>
    <w:rsid w:val="00C2224C"/>
    <w:rsid w:val="00C27030"/>
    <w:rsid w:val="00C27909"/>
    <w:rsid w:val="00C279EC"/>
    <w:rsid w:val="00C30DFB"/>
    <w:rsid w:val="00C312B9"/>
    <w:rsid w:val="00C32216"/>
    <w:rsid w:val="00C3397C"/>
    <w:rsid w:val="00C33DE1"/>
    <w:rsid w:val="00C3463E"/>
    <w:rsid w:val="00C3645A"/>
    <w:rsid w:val="00C364C3"/>
    <w:rsid w:val="00C40446"/>
    <w:rsid w:val="00C41558"/>
    <w:rsid w:val="00C43A0A"/>
    <w:rsid w:val="00C43E23"/>
    <w:rsid w:val="00C4464D"/>
    <w:rsid w:val="00C44D78"/>
    <w:rsid w:val="00C4539F"/>
    <w:rsid w:val="00C46E38"/>
    <w:rsid w:val="00C47B14"/>
    <w:rsid w:val="00C50C34"/>
    <w:rsid w:val="00C51F57"/>
    <w:rsid w:val="00C54533"/>
    <w:rsid w:val="00C5563E"/>
    <w:rsid w:val="00C60C05"/>
    <w:rsid w:val="00C6458F"/>
    <w:rsid w:val="00C6477E"/>
    <w:rsid w:val="00C65AB8"/>
    <w:rsid w:val="00C6601A"/>
    <w:rsid w:val="00C677B5"/>
    <w:rsid w:val="00C72DD7"/>
    <w:rsid w:val="00C803E2"/>
    <w:rsid w:val="00C807F9"/>
    <w:rsid w:val="00C809AA"/>
    <w:rsid w:val="00C81A5F"/>
    <w:rsid w:val="00C93B5E"/>
    <w:rsid w:val="00C94212"/>
    <w:rsid w:val="00C97F5A"/>
    <w:rsid w:val="00CA0CB5"/>
    <w:rsid w:val="00CA0F6F"/>
    <w:rsid w:val="00CA1707"/>
    <w:rsid w:val="00CA3BE0"/>
    <w:rsid w:val="00CA6EFE"/>
    <w:rsid w:val="00CA70C6"/>
    <w:rsid w:val="00CB097E"/>
    <w:rsid w:val="00CB16D7"/>
    <w:rsid w:val="00CB21BA"/>
    <w:rsid w:val="00CB3B0C"/>
    <w:rsid w:val="00CB40FC"/>
    <w:rsid w:val="00CB41ED"/>
    <w:rsid w:val="00CB4B10"/>
    <w:rsid w:val="00CC1254"/>
    <w:rsid w:val="00CC19A7"/>
    <w:rsid w:val="00CC19B0"/>
    <w:rsid w:val="00CC1C16"/>
    <w:rsid w:val="00CC2E68"/>
    <w:rsid w:val="00CC322D"/>
    <w:rsid w:val="00CC5529"/>
    <w:rsid w:val="00CC5548"/>
    <w:rsid w:val="00CC557D"/>
    <w:rsid w:val="00CC6B63"/>
    <w:rsid w:val="00CC6CAA"/>
    <w:rsid w:val="00CD1F96"/>
    <w:rsid w:val="00CD29B5"/>
    <w:rsid w:val="00CD3707"/>
    <w:rsid w:val="00CD511F"/>
    <w:rsid w:val="00CD52C8"/>
    <w:rsid w:val="00CD641B"/>
    <w:rsid w:val="00CD7072"/>
    <w:rsid w:val="00CD7261"/>
    <w:rsid w:val="00CE1FDB"/>
    <w:rsid w:val="00CE3463"/>
    <w:rsid w:val="00CE6229"/>
    <w:rsid w:val="00CE774E"/>
    <w:rsid w:val="00CF15E7"/>
    <w:rsid w:val="00CF23BE"/>
    <w:rsid w:val="00CF2792"/>
    <w:rsid w:val="00CF46D6"/>
    <w:rsid w:val="00CF4C70"/>
    <w:rsid w:val="00CF4D8A"/>
    <w:rsid w:val="00CF537D"/>
    <w:rsid w:val="00CF64B6"/>
    <w:rsid w:val="00CF766C"/>
    <w:rsid w:val="00D012F4"/>
    <w:rsid w:val="00D028F4"/>
    <w:rsid w:val="00D039A9"/>
    <w:rsid w:val="00D04A6F"/>
    <w:rsid w:val="00D05E85"/>
    <w:rsid w:val="00D0782B"/>
    <w:rsid w:val="00D07C41"/>
    <w:rsid w:val="00D11B77"/>
    <w:rsid w:val="00D123F5"/>
    <w:rsid w:val="00D1286D"/>
    <w:rsid w:val="00D138BB"/>
    <w:rsid w:val="00D141E6"/>
    <w:rsid w:val="00D16056"/>
    <w:rsid w:val="00D163E5"/>
    <w:rsid w:val="00D1745F"/>
    <w:rsid w:val="00D17ECF"/>
    <w:rsid w:val="00D20324"/>
    <w:rsid w:val="00D20EA5"/>
    <w:rsid w:val="00D2452C"/>
    <w:rsid w:val="00D26641"/>
    <w:rsid w:val="00D308B6"/>
    <w:rsid w:val="00D335FF"/>
    <w:rsid w:val="00D34825"/>
    <w:rsid w:val="00D34FF6"/>
    <w:rsid w:val="00D366DB"/>
    <w:rsid w:val="00D40F94"/>
    <w:rsid w:val="00D4113E"/>
    <w:rsid w:val="00D432E4"/>
    <w:rsid w:val="00D451A0"/>
    <w:rsid w:val="00D45FB2"/>
    <w:rsid w:val="00D45FED"/>
    <w:rsid w:val="00D46992"/>
    <w:rsid w:val="00D47205"/>
    <w:rsid w:val="00D54A51"/>
    <w:rsid w:val="00D54F56"/>
    <w:rsid w:val="00D5559A"/>
    <w:rsid w:val="00D566D8"/>
    <w:rsid w:val="00D56B9C"/>
    <w:rsid w:val="00D573DB"/>
    <w:rsid w:val="00D574B2"/>
    <w:rsid w:val="00D601D4"/>
    <w:rsid w:val="00D63B10"/>
    <w:rsid w:val="00D64918"/>
    <w:rsid w:val="00D64E43"/>
    <w:rsid w:val="00D65CCC"/>
    <w:rsid w:val="00D65DA7"/>
    <w:rsid w:val="00D67219"/>
    <w:rsid w:val="00D70805"/>
    <w:rsid w:val="00D711D1"/>
    <w:rsid w:val="00D7231D"/>
    <w:rsid w:val="00D7282B"/>
    <w:rsid w:val="00D7360F"/>
    <w:rsid w:val="00D73F6C"/>
    <w:rsid w:val="00D7528C"/>
    <w:rsid w:val="00D75D16"/>
    <w:rsid w:val="00D76E77"/>
    <w:rsid w:val="00D817D2"/>
    <w:rsid w:val="00D83884"/>
    <w:rsid w:val="00D86540"/>
    <w:rsid w:val="00D92755"/>
    <w:rsid w:val="00D92FD4"/>
    <w:rsid w:val="00D93000"/>
    <w:rsid w:val="00D93926"/>
    <w:rsid w:val="00D949F8"/>
    <w:rsid w:val="00D96205"/>
    <w:rsid w:val="00D97274"/>
    <w:rsid w:val="00DA0A7E"/>
    <w:rsid w:val="00DA38F8"/>
    <w:rsid w:val="00DA7FA3"/>
    <w:rsid w:val="00DB0156"/>
    <w:rsid w:val="00DB1D14"/>
    <w:rsid w:val="00DB29F2"/>
    <w:rsid w:val="00DB3198"/>
    <w:rsid w:val="00DB77B7"/>
    <w:rsid w:val="00DB7AD0"/>
    <w:rsid w:val="00DC2100"/>
    <w:rsid w:val="00DC2E13"/>
    <w:rsid w:val="00DC2F7C"/>
    <w:rsid w:val="00DC4130"/>
    <w:rsid w:val="00DC4E69"/>
    <w:rsid w:val="00DC68D5"/>
    <w:rsid w:val="00DC71D6"/>
    <w:rsid w:val="00DC7AFB"/>
    <w:rsid w:val="00DC7F00"/>
    <w:rsid w:val="00DD03B4"/>
    <w:rsid w:val="00DD1145"/>
    <w:rsid w:val="00DD1B61"/>
    <w:rsid w:val="00DD1D24"/>
    <w:rsid w:val="00DD2E07"/>
    <w:rsid w:val="00DD5441"/>
    <w:rsid w:val="00DD66B7"/>
    <w:rsid w:val="00DE1D5D"/>
    <w:rsid w:val="00DE2D92"/>
    <w:rsid w:val="00DE4498"/>
    <w:rsid w:val="00DE5DE7"/>
    <w:rsid w:val="00DE78AF"/>
    <w:rsid w:val="00DF1E3D"/>
    <w:rsid w:val="00DF2B2D"/>
    <w:rsid w:val="00DF44DA"/>
    <w:rsid w:val="00DF491C"/>
    <w:rsid w:val="00DF7167"/>
    <w:rsid w:val="00E01D9F"/>
    <w:rsid w:val="00E035E6"/>
    <w:rsid w:val="00E03691"/>
    <w:rsid w:val="00E04428"/>
    <w:rsid w:val="00E05C35"/>
    <w:rsid w:val="00E074D9"/>
    <w:rsid w:val="00E0797C"/>
    <w:rsid w:val="00E10731"/>
    <w:rsid w:val="00E1137E"/>
    <w:rsid w:val="00E1332E"/>
    <w:rsid w:val="00E14503"/>
    <w:rsid w:val="00E15007"/>
    <w:rsid w:val="00E1513C"/>
    <w:rsid w:val="00E16277"/>
    <w:rsid w:val="00E166EA"/>
    <w:rsid w:val="00E16E4A"/>
    <w:rsid w:val="00E17185"/>
    <w:rsid w:val="00E232F1"/>
    <w:rsid w:val="00E2351A"/>
    <w:rsid w:val="00E2389A"/>
    <w:rsid w:val="00E259E9"/>
    <w:rsid w:val="00E25A78"/>
    <w:rsid w:val="00E3028E"/>
    <w:rsid w:val="00E30502"/>
    <w:rsid w:val="00E33189"/>
    <w:rsid w:val="00E332F5"/>
    <w:rsid w:val="00E353D2"/>
    <w:rsid w:val="00E417BE"/>
    <w:rsid w:val="00E42245"/>
    <w:rsid w:val="00E43511"/>
    <w:rsid w:val="00E43647"/>
    <w:rsid w:val="00E440A4"/>
    <w:rsid w:val="00E45242"/>
    <w:rsid w:val="00E457F6"/>
    <w:rsid w:val="00E47A83"/>
    <w:rsid w:val="00E51635"/>
    <w:rsid w:val="00E53F44"/>
    <w:rsid w:val="00E54A64"/>
    <w:rsid w:val="00E62F59"/>
    <w:rsid w:val="00E63BD3"/>
    <w:rsid w:val="00E63DC9"/>
    <w:rsid w:val="00E65C79"/>
    <w:rsid w:val="00E67379"/>
    <w:rsid w:val="00E7022F"/>
    <w:rsid w:val="00E7027E"/>
    <w:rsid w:val="00E71272"/>
    <w:rsid w:val="00E7254E"/>
    <w:rsid w:val="00E74908"/>
    <w:rsid w:val="00E75D59"/>
    <w:rsid w:val="00E773EC"/>
    <w:rsid w:val="00E77FBA"/>
    <w:rsid w:val="00E821AA"/>
    <w:rsid w:val="00E82648"/>
    <w:rsid w:val="00E8309E"/>
    <w:rsid w:val="00E8358A"/>
    <w:rsid w:val="00E83EED"/>
    <w:rsid w:val="00E8593C"/>
    <w:rsid w:val="00E8668B"/>
    <w:rsid w:val="00E86BF2"/>
    <w:rsid w:val="00E86E5F"/>
    <w:rsid w:val="00E91BC3"/>
    <w:rsid w:val="00E91BDD"/>
    <w:rsid w:val="00E94E8D"/>
    <w:rsid w:val="00E9539B"/>
    <w:rsid w:val="00EA051D"/>
    <w:rsid w:val="00EA2EF9"/>
    <w:rsid w:val="00EA7BEC"/>
    <w:rsid w:val="00EB058F"/>
    <w:rsid w:val="00EB199E"/>
    <w:rsid w:val="00EB1C2E"/>
    <w:rsid w:val="00EB30FD"/>
    <w:rsid w:val="00EB3152"/>
    <w:rsid w:val="00EB3AAF"/>
    <w:rsid w:val="00EB41A0"/>
    <w:rsid w:val="00EB4976"/>
    <w:rsid w:val="00EB5026"/>
    <w:rsid w:val="00EB6268"/>
    <w:rsid w:val="00EC0793"/>
    <w:rsid w:val="00EC7881"/>
    <w:rsid w:val="00ED116A"/>
    <w:rsid w:val="00ED1984"/>
    <w:rsid w:val="00ED37A9"/>
    <w:rsid w:val="00ED431C"/>
    <w:rsid w:val="00ED4604"/>
    <w:rsid w:val="00ED460C"/>
    <w:rsid w:val="00ED4AF2"/>
    <w:rsid w:val="00ED59B0"/>
    <w:rsid w:val="00ED5D88"/>
    <w:rsid w:val="00ED6A6C"/>
    <w:rsid w:val="00EE0614"/>
    <w:rsid w:val="00EE069E"/>
    <w:rsid w:val="00EE2E3C"/>
    <w:rsid w:val="00EE6000"/>
    <w:rsid w:val="00EE69A4"/>
    <w:rsid w:val="00EE706C"/>
    <w:rsid w:val="00EF2D4D"/>
    <w:rsid w:val="00EF3E20"/>
    <w:rsid w:val="00EF3EF7"/>
    <w:rsid w:val="00EF478E"/>
    <w:rsid w:val="00EF5BE9"/>
    <w:rsid w:val="00EF5F6B"/>
    <w:rsid w:val="00EF6CBB"/>
    <w:rsid w:val="00EF766C"/>
    <w:rsid w:val="00EF7EA0"/>
    <w:rsid w:val="00F06BBE"/>
    <w:rsid w:val="00F06D12"/>
    <w:rsid w:val="00F07094"/>
    <w:rsid w:val="00F120A3"/>
    <w:rsid w:val="00F1292F"/>
    <w:rsid w:val="00F12F62"/>
    <w:rsid w:val="00F13CDB"/>
    <w:rsid w:val="00F1648F"/>
    <w:rsid w:val="00F179DD"/>
    <w:rsid w:val="00F21C61"/>
    <w:rsid w:val="00F22B16"/>
    <w:rsid w:val="00F235F8"/>
    <w:rsid w:val="00F236F6"/>
    <w:rsid w:val="00F2383C"/>
    <w:rsid w:val="00F24DA7"/>
    <w:rsid w:val="00F3079B"/>
    <w:rsid w:val="00F30F15"/>
    <w:rsid w:val="00F3189F"/>
    <w:rsid w:val="00F347AF"/>
    <w:rsid w:val="00F36BE9"/>
    <w:rsid w:val="00F36C79"/>
    <w:rsid w:val="00F40A16"/>
    <w:rsid w:val="00F4375B"/>
    <w:rsid w:val="00F43DD7"/>
    <w:rsid w:val="00F445A9"/>
    <w:rsid w:val="00F44690"/>
    <w:rsid w:val="00F44F13"/>
    <w:rsid w:val="00F46143"/>
    <w:rsid w:val="00F4632B"/>
    <w:rsid w:val="00F46EFA"/>
    <w:rsid w:val="00F5025E"/>
    <w:rsid w:val="00F5201B"/>
    <w:rsid w:val="00F5208C"/>
    <w:rsid w:val="00F528BF"/>
    <w:rsid w:val="00F532EB"/>
    <w:rsid w:val="00F53301"/>
    <w:rsid w:val="00F53B07"/>
    <w:rsid w:val="00F53F16"/>
    <w:rsid w:val="00F55EA2"/>
    <w:rsid w:val="00F5608D"/>
    <w:rsid w:val="00F57123"/>
    <w:rsid w:val="00F606C6"/>
    <w:rsid w:val="00F60846"/>
    <w:rsid w:val="00F64CB2"/>
    <w:rsid w:val="00F64E7D"/>
    <w:rsid w:val="00F66FCF"/>
    <w:rsid w:val="00F755FA"/>
    <w:rsid w:val="00F812A5"/>
    <w:rsid w:val="00F819F9"/>
    <w:rsid w:val="00F83778"/>
    <w:rsid w:val="00F84AD7"/>
    <w:rsid w:val="00F84FA2"/>
    <w:rsid w:val="00F8566A"/>
    <w:rsid w:val="00F911A4"/>
    <w:rsid w:val="00F912AF"/>
    <w:rsid w:val="00F92313"/>
    <w:rsid w:val="00F94C44"/>
    <w:rsid w:val="00F95DE4"/>
    <w:rsid w:val="00F9637E"/>
    <w:rsid w:val="00F96617"/>
    <w:rsid w:val="00F9718F"/>
    <w:rsid w:val="00F971CB"/>
    <w:rsid w:val="00FA1AC8"/>
    <w:rsid w:val="00FA2056"/>
    <w:rsid w:val="00FA57D7"/>
    <w:rsid w:val="00FA627E"/>
    <w:rsid w:val="00FA6A54"/>
    <w:rsid w:val="00FA7EDE"/>
    <w:rsid w:val="00FB0079"/>
    <w:rsid w:val="00FB06CE"/>
    <w:rsid w:val="00FB2750"/>
    <w:rsid w:val="00FB3994"/>
    <w:rsid w:val="00FB48EF"/>
    <w:rsid w:val="00FB6D98"/>
    <w:rsid w:val="00FC3DB9"/>
    <w:rsid w:val="00FC3E5B"/>
    <w:rsid w:val="00FC4BAB"/>
    <w:rsid w:val="00FC5F70"/>
    <w:rsid w:val="00FD0652"/>
    <w:rsid w:val="00FD2430"/>
    <w:rsid w:val="00FD37E7"/>
    <w:rsid w:val="00FD58CA"/>
    <w:rsid w:val="00FD5AA9"/>
    <w:rsid w:val="00FD5ACA"/>
    <w:rsid w:val="00FD6379"/>
    <w:rsid w:val="00FD676B"/>
    <w:rsid w:val="00FD6EDD"/>
    <w:rsid w:val="00FD7D99"/>
    <w:rsid w:val="00FE071F"/>
    <w:rsid w:val="00FE0ECA"/>
    <w:rsid w:val="00FE1A8D"/>
    <w:rsid w:val="00FE1B20"/>
    <w:rsid w:val="00FE2A9D"/>
    <w:rsid w:val="00FE561E"/>
    <w:rsid w:val="00FF02F6"/>
    <w:rsid w:val="00FF29DB"/>
    <w:rsid w:val="00FF5283"/>
    <w:rsid w:val="00FF55B3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>
      <o:colormru v:ext="edit" colors="#ffc"/>
    </o:shapedefaults>
    <o:shapelayout v:ext="edit">
      <o:idmap v:ext="edit" data="1"/>
    </o:shapelayout>
  </w:shapeDefaults>
  <w:decimalSymbol w:val="."/>
  <w:listSeparator w:val=","/>
  <w15:docId w15:val="{C3E18685-3280-4DBB-A81E-28C2031F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41"/>
    <w:pPr>
      <w:widowControl w:val="0"/>
      <w:suppressAutoHyphens/>
      <w:spacing w:after="180" w:line="240" w:lineRule="atLeast"/>
      <w:ind w:firstLine="360"/>
      <w:jc w:val="both"/>
    </w:pPr>
    <w:rPr>
      <w:rFonts w:ascii="Century Schoolbook" w:hAnsi="Century Schoolbook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7073D"/>
    <w:pPr>
      <w:keepNext/>
      <w:pBdr>
        <w:bottom w:val="single" w:sz="18" w:space="1" w:color="auto"/>
      </w:pBdr>
      <w:spacing w:after="120" w:line="240" w:lineRule="auto"/>
      <w:ind w:firstLine="0"/>
      <w:jc w:val="right"/>
      <w:outlineLvl w:val="0"/>
    </w:pPr>
    <w:rPr>
      <w:rFonts w:cs="Arial"/>
      <w:b/>
      <w:bCs/>
      <w:kern w:val="4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EDF"/>
    <w:pPr>
      <w:keepNext/>
      <w:spacing w:before="160" w:after="120"/>
      <w:ind w:firstLine="0"/>
      <w:jc w:val="left"/>
      <w:outlineLvl w:val="1"/>
    </w:pPr>
    <w:rPr>
      <w:rFonts w:cs="Arial"/>
      <w:b/>
      <w:bCs/>
      <w:i/>
      <w:iCs/>
      <w:kern w:val="3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3198"/>
    <w:pPr>
      <w:keepNext/>
      <w:spacing w:before="240" w:after="60"/>
      <w:ind w:firstLine="0"/>
      <w:jc w:val="left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4859B8"/>
    <w:pPr>
      <w:spacing w:after="0" w:line="240" w:lineRule="auto"/>
      <w:ind w:firstLine="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73D"/>
    <w:rPr>
      <w:rFonts w:ascii="Century Schoolbook" w:hAnsi="Century Schoolbook" w:cs="Arial"/>
      <w:b/>
      <w:bCs/>
      <w:kern w:val="40"/>
      <w:sz w:val="36"/>
      <w:szCs w:val="3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42EDF"/>
    <w:rPr>
      <w:rFonts w:ascii="Century Schoolbook" w:hAnsi="Century Schoolbook" w:cs="Arial"/>
      <w:b/>
      <w:bCs/>
      <w:i/>
      <w:iCs/>
      <w:kern w:val="30"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B3198"/>
    <w:rPr>
      <w:rFonts w:ascii="Century Schoolbook" w:hAnsi="Century Schoolbook" w:cs="Arial"/>
      <w:b/>
      <w:bCs/>
      <w:sz w:val="22"/>
      <w:szCs w:val="22"/>
      <w:lang w:val="en-US" w:eastAsia="en-US" w:bidi="ar-SA"/>
    </w:rPr>
  </w:style>
  <w:style w:type="paragraph" w:customStyle="1" w:styleId="Titlepage2">
    <w:name w:val="Title page 2"/>
    <w:basedOn w:val="Normal"/>
    <w:autoRedefine/>
    <w:rsid w:val="00003333"/>
    <w:pPr>
      <w:ind w:firstLine="0"/>
      <w:jc w:val="center"/>
    </w:pPr>
    <w:rPr>
      <w:b/>
      <w:bCs/>
      <w:sz w:val="28"/>
      <w:szCs w:val="23"/>
    </w:rPr>
  </w:style>
  <w:style w:type="paragraph" w:styleId="TOC1">
    <w:name w:val="toc 1"/>
    <w:basedOn w:val="Normal"/>
    <w:next w:val="Normal"/>
    <w:autoRedefine/>
    <w:uiPriority w:val="39"/>
    <w:rsid w:val="007E6948"/>
    <w:pPr>
      <w:tabs>
        <w:tab w:val="right" w:leader="dot" w:pos="9830"/>
      </w:tabs>
      <w:spacing w:before="240" w:after="120" w:line="240" w:lineRule="auto"/>
      <w:ind w:firstLine="0"/>
      <w:jc w:val="left"/>
    </w:pPr>
    <w:rPr>
      <w:b/>
      <w:noProof/>
      <w:spacing w:val="-6"/>
      <w:szCs w:val="20"/>
    </w:rPr>
  </w:style>
  <w:style w:type="paragraph" w:customStyle="1" w:styleId="BodytextnoindentChar">
    <w:name w:val="Body text no indent Char"/>
    <w:basedOn w:val="Normal"/>
    <w:link w:val="BodytextnoindentCharChar"/>
    <w:rsid w:val="00906AB1"/>
    <w:pPr>
      <w:ind w:firstLine="0"/>
    </w:pPr>
    <w:rPr>
      <w:szCs w:val="23"/>
    </w:rPr>
  </w:style>
  <w:style w:type="character" w:customStyle="1" w:styleId="BodytextnoindentCharChar">
    <w:name w:val="Body text no indent Char Char"/>
    <w:basedOn w:val="DefaultParagraphFont"/>
    <w:link w:val="BodytextnoindentChar"/>
    <w:rsid w:val="00906AB1"/>
    <w:rPr>
      <w:rFonts w:ascii="Century Schoolbook" w:hAnsi="Century Schoolbook"/>
      <w:sz w:val="22"/>
      <w:szCs w:val="23"/>
    </w:rPr>
  </w:style>
  <w:style w:type="character" w:styleId="FootnoteReference">
    <w:name w:val="footnote reference"/>
    <w:basedOn w:val="DefaultParagraphFont"/>
    <w:uiPriority w:val="99"/>
    <w:semiHidden/>
    <w:rPr>
      <w:rFonts w:ascii="Century Schoolbook" w:hAnsi="Century Schoolbook"/>
      <w:sz w:val="17"/>
      <w:szCs w:val="17"/>
      <w:vertAlign w:val="baseline"/>
    </w:rPr>
  </w:style>
  <w:style w:type="paragraph" w:styleId="Header">
    <w:name w:val="header"/>
    <w:basedOn w:val="Normal"/>
    <w:rsid w:val="001B47B4"/>
    <w:pPr>
      <w:tabs>
        <w:tab w:val="center" w:pos="4320"/>
        <w:tab w:val="right" w:pos="8640"/>
      </w:tabs>
      <w:spacing w:after="0"/>
      <w:ind w:firstLine="0"/>
      <w:jc w:val="right"/>
    </w:pPr>
    <w:rPr>
      <w:i/>
      <w:sz w:val="18"/>
    </w:rPr>
  </w:style>
  <w:style w:type="paragraph" w:styleId="Footer">
    <w:name w:val="footer"/>
    <w:basedOn w:val="Normal"/>
    <w:link w:val="FooterChar"/>
    <w:rsid w:val="00824081"/>
    <w:pPr>
      <w:tabs>
        <w:tab w:val="center" w:pos="4320"/>
        <w:tab w:val="right" w:pos="8640"/>
      </w:tabs>
      <w:spacing w:after="120"/>
      <w:ind w:firstLine="0"/>
      <w:jc w:val="right"/>
    </w:pPr>
    <w:rPr>
      <w:i/>
      <w:sz w:val="18"/>
    </w:rPr>
  </w:style>
  <w:style w:type="paragraph" w:customStyle="1" w:styleId="TitlePage1">
    <w:name w:val="Title Page 1"/>
    <w:basedOn w:val="Normal"/>
    <w:autoRedefine/>
    <w:rsid w:val="00AB0FE1"/>
    <w:pPr>
      <w:spacing w:after="120"/>
      <w:ind w:firstLine="0"/>
      <w:jc w:val="center"/>
    </w:pPr>
    <w:rPr>
      <w:b/>
      <w:sz w:val="36"/>
      <w:szCs w:val="28"/>
    </w:rPr>
  </w:style>
  <w:style w:type="paragraph" w:styleId="TOC2">
    <w:name w:val="toc 2"/>
    <w:basedOn w:val="Normal"/>
    <w:next w:val="Normal"/>
    <w:autoRedefine/>
    <w:uiPriority w:val="39"/>
    <w:rsid w:val="00FA627E"/>
    <w:pPr>
      <w:spacing w:before="120" w:after="120" w:line="240" w:lineRule="auto"/>
      <w:ind w:left="288" w:firstLine="0"/>
      <w:jc w:val="left"/>
    </w:pPr>
    <w:rPr>
      <w:iCs/>
      <w:szCs w:val="20"/>
    </w:rPr>
  </w:style>
  <w:style w:type="paragraph" w:styleId="TOC3">
    <w:name w:val="toc 3"/>
    <w:basedOn w:val="Normal"/>
    <w:next w:val="Normal"/>
    <w:autoRedefine/>
    <w:uiPriority w:val="39"/>
    <w:rsid w:val="00A23C5D"/>
    <w:pPr>
      <w:tabs>
        <w:tab w:val="right" w:leader="dot" w:pos="9830"/>
      </w:tabs>
      <w:spacing w:after="60" w:line="240" w:lineRule="auto"/>
      <w:ind w:left="792" w:hanging="360"/>
      <w:jc w:val="left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ind w:left="690"/>
      <w:jc w:val="left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ind w:left="920"/>
      <w:jc w:val="left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1150"/>
      <w:jc w:val="left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38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61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840"/>
      <w:jc w:val="left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semiHidden/>
    <w:pPr>
      <w:spacing w:line="240" w:lineRule="auto"/>
      <w:ind w:left="360" w:hanging="360"/>
    </w:pPr>
    <w:rPr>
      <w:sz w:val="17"/>
      <w:szCs w:val="17"/>
    </w:rPr>
  </w:style>
  <w:style w:type="paragraph" w:customStyle="1" w:styleId="bullet">
    <w:name w:val="bullet"/>
    <w:basedOn w:val="Normal"/>
    <w:rsid w:val="006F1AC5"/>
    <w:pPr>
      <w:widowControl/>
      <w:numPr>
        <w:numId w:val="1"/>
      </w:numPr>
      <w:suppressAutoHyphens w:val="0"/>
      <w:spacing w:after="120"/>
    </w:pPr>
  </w:style>
  <w:style w:type="paragraph" w:customStyle="1" w:styleId="FtnotesChar">
    <w:name w:val="Ftnotes Char"/>
    <w:basedOn w:val="Normal"/>
    <w:link w:val="FtnotesCharChar"/>
    <w:pPr>
      <w:tabs>
        <w:tab w:val="left" w:pos="-1440"/>
      </w:tabs>
      <w:spacing w:after="80" w:line="240" w:lineRule="auto"/>
      <w:ind w:left="360" w:hanging="360"/>
    </w:pPr>
    <w:rPr>
      <w:rFonts w:cs="Zurich Cn BT"/>
      <w:sz w:val="17"/>
      <w:szCs w:val="17"/>
    </w:rPr>
  </w:style>
  <w:style w:type="character" w:customStyle="1" w:styleId="FtnotesCharChar">
    <w:name w:val="Ftnotes Char Char"/>
    <w:basedOn w:val="DefaultParagraphFont"/>
    <w:link w:val="FtnotesChar"/>
    <w:rsid w:val="00A96FB6"/>
    <w:rPr>
      <w:rFonts w:ascii="Century Schoolbook" w:hAnsi="Century Schoolbook" w:cs="Zurich Cn BT"/>
      <w:sz w:val="17"/>
      <w:szCs w:val="17"/>
      <w:lang w:val="en-US" w:eastAsia="en-US" w:bidi="ar-SA"/>
    </w:rPr>
  </w:style>
  <w:style w:type="paragraph" w:customStyle="1" w:styleId="numberlist">
    <w:name w:val="number list"/>
    <w:basedOn w:val="Normal"/>
    <w:link w:val="numberlistCharChar"/>
    <w:rsid w:val="006F1AC5"/>
    <w:pPr>
      <w:widowControl/>
      <w:numPr>
        <w:numId w:val="2"/>
      </w:numPr>
      <w:suppressAutoHyphens w:val="0"/>
      <w:autoSpaceDE w:val="0"/>
      <w:autoSpaceDN w:val="0"/>
      <w:adjustRightInd w:val="0"/>
      <w:spacing w:after="120"/>
    </w:pPr>
    <w:rPr>
      <w:noProof/>
      <w:szCs w:val="20"/>
    </w:rPr>
  </w:style>
  <w:style w:type="character" w:customStyle="1" w:styleId="numberlistCharChar">
    <w:name w:val="number list Char Char"/>
    <w:basedOn w:val="DefaultParagraphFont"/>
    <w:link w:val="numberlist"/>
    <w:rsid w:val="006F1AC5"/>
    <w:rPr>
      <w:rFonts w:ascii="Century Schoolbook" w:hAnsi="Century Schoolbook"/>
      <w:noProof/>
      <w:sz w:val="22"/>
    </w:rPr>
  </w:style>
  <w:style w:type="paragraph" w:customStyle="1" w:styleId="footnoteno">
    <w:name w:val="footnote no"/>
    <w:basedOn w:val="Normal"/>
    <w:link w:val="footnotenoChar"/>
    <w:rsid w:val="00A96FB6"/>
    <w:rPr>
      <w:sz w:val="18"/>
      <w:szCs w:val="18"/>
      <w:vertAlign w:val="superscript"/>
    </w:rPr>
  </w:style>
  <w:style w:type="character" w:customStyle="1" w:styleId="footnotenoChar">
    <w:name w:val="footnote no Char"/>
    <w:basedOn w:val="DefaultParagraphFont"/>
    <w:link w:val="footnoteno"/>
    <w:rsid w:val="00A96FB6"/>
    <w:rPr>
      <w:rFonts w:ascii="Century Schoolbook" w:hAnsi="Century Schoolbook"/>
      <w:sz w:val="18"/>
      <w:szCs w:val="18"/>
      <w:vertAlign w:val="superscript"/>
      <w:lang w:val="en-US" w:eastAsia="en-US" w:bidi="ar-SA"/>
    </w:rPr>
  </w:style>
  <w:style w:type="paragraph" w:styleId="BalloonText">
    <w:name w:val="Balloon Text"/>
    <w:basedOn w:val="Normal"/>
    <w:semiHidden/>
    <w:rsid w:val="003B5F4E"/>
    <w:rPr>
      <w:rFonts w:ascii="Tahoma" w:hAnsi="Tahoma" w:cs="Tahoma"/>
      <w:sz w:val="16"/>
      <w:szCs w:val="16"/>
    </w:rPr>
  </w:style>
  <w:style w:type="paragraph" w:customStyle="1" w:styleId="Heading1forSection">
    <w:name w:val="Heading 1 for Section"/>
    <w:basedOn w:val="Heading1"/>
    <w:rsid w:val="0045722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600" w:after="600"/>
      <w:jc w:val="center"/>
    </w:pPr>
    <w:rPr>
      <w:rFonts w:cs="Times New Roman"/>
      <w:sz w:val="72"/>
      <w:szCs w:val="20"/>
    </w:rPr>
  </w:style>
  <w:style w:type="paragraph" w:customStyle="1" w:styleId="Excerpt">
    <w:name w:val="Excerpt"/>
    <w:basedOn w:val="Normal"/>
    <w:rsid w:val="008D67C0"/>
    <w:pPr>
      <w:spacing w:line="240" w:lineRule="auto"/>
      <w:ind w:left="720" w:right="720" w:firstLine="0"/>
    </w:pPr>
    <w:rPr>
      <w:szCs w:val="20"/>
    </w:rPr>
  </w:style>
  <w:style w:type="paragraph" w:customStyle="1" w:styleId="Tabletext">
    <w:name w:val="Table text"/>
    <w:basedOn w:val="Normal"/>
    <w:rsid w:val="006F1AC5"/>
    <w:pPr>
      <w:spacing w:line="220" w:lineRule="atLeast"/>
    </w:pPr>
    <w:rPr>
      <w:sz w:val="20"/>
      <w:szCs w:val="20"/>
    </w:rPr>
  </w:style>
  <w:style w:type="paragraph" w:customStyle="1" w:styleId="Heading41">
    <w:name w:val="Heading 41"/>
    <w:basedOn w:val="Normal"/>
    <w:autoRedefine/>
    <w:rsid w:val="006B0258"/>
    <w:pPr>
      <w:spacing w:after="120"/>
      <w:ind w:firstLine="0"/>
    </w:pPr>
    <w:rPr>
      <w:b/>
      <w:bCs/>
      <w:i/>
      <w:iCs/>
    </w:rPr>
  </w:style>
  <w:style w:type="paragraph" w:customStyle="1" w:styleId="Header4">
    <w:name w:val="Header 4"/>
    <w:basedOn w:val="Normal"/>
    <w:autoRedefine/>
    <w:rsid w:val="000A1DD8"/>
    <w:pPr>
      <w:spacing w:after="60" w:line="240" w:lineRule="auto"/>
      <w:ind w:firstLine="0"/>
    </w:pPr>
    <w:rPr>
      <w:i/>
      <w:iCs/>
    </w:rPr>
  </w:style>
  <w:style w:type="paragraph" w:customStyle="1" w:styleId="Topic">
    <w:name w:val="Topic"/>
    <w:basedOn w:val="Heading1"/>
    <w:autoRedefine/>
    <w:rsid w:val="005E6C2E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600" w:after="600"/>
      <w:jc w:val="center"/>
    </w:pPr>
    <w:rPr>
      <w:rFonts w:cs="Times New Roman"/>
      <w:sz w:val="72"/>
      <w:szCs w:val="20"/>
    </w:rPr>
  </w:style>
  <w:style w:type="paragraph" w:customStyle="1" w:styleId="smalltabletext">
    <w:name w:val="small table text"/>
    <w:basedOn w:val="Tabletext"/>
    <w:rsid w:val="00241E4F"/>
    <w:pPr>
      <w:spacing w:after="120" w:line="200" w:lineRule="exact"/>
      <w:ind w:firstLine="0"/>
      <w:jc w:val="left"/>
    </w:pPr>
    <w:rPr>
      <w:sz w:val="16"/>
    </w:rPr>
  </w:style>
  <w:style w:type="paragraph" w:customStyle="1" w:styleId="topicheader">
    <w:name w:val="topic header"/>
    <w:basedOn w:val="TitlePage1"/>
    <w:autoRedefine/>
    <w:rsid w:val="00A629FA"/>
    <w:pPr>
      <w:outlineLvl w:val="0"/>
    </w:pPr>
  </w:style>
  <w:style w:type="paragraph" w:customStyle="1" w:styleId="Commentary">
    <w:name w:val="Commentary"/>
    <w:basedOn w:val="Normal"/>
    <w:rsid w:val="00597445"/>
    <w:pPr>
      <w:spacing w:before="240"/>
      <w:ind w:left="720" w:right="720" w:firstLine="0"/>
    </w:pPr>
    <w:rPr>
      <w:i/>
    </w:rPr>
  </w:style>
  <w:style w:type="paragraph" w:customStyle="1" w:styleId="QA">
    <w:name w:val="Q &amp; A"/>
    <w:basedOn w:val="Normal"/>
    <w:rsid w:val="00755078"/>
    <w:pPr>
      <w:spacing w:before="360" w:after="120"/>
      <w:ind w:firstLine="0"/>
    </w:pPr>
    <w:rPr>
      <w:b/>
    </w:rPr>
  </w:style>
  <w:style w:type="paragraph" w:customStyle="1" w:styleId="Regnumbers">
    <w:name w:val="Reg numbers"/>
    <w:basedOn w:val="Normal"/>
    <w:rsid w:val="00A747AD"/>
    <w:pPr>
      <w:numPr>
        <w:numId w:val="3"/>
      </w:numPr>
    </w:pPr>
  </w:style>
  <w:style w:type="paragraph" w:customStyle="1" w:styleId="RegBoxes">
    <w:name w:val="Reg Boxes"/>
    <w:basedOn w:val="Normal"/>
    <w:rsid w:val="00C279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firstLine="0"/>
    </w:pPr>
  </w:style>
  <w:style w:type="table" w:customStyle="1" w:styleId="PlainTable11">
    <w:name w:val="Plain Table 11"/>
    <w:basedOn w:val="TableNormal"/>
    <w:next w:val="PlainTable1"/>
    <w:uiPriority w:val="41"/>
    <w:rsid w:val="00C0644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C064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C0644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nhideWhenUsed/>
    <w:rsid w:val="005D79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A35"/>
    <w:pPr>
      <w:widowControl/>
      <w:suppressAutoHyphens w:val="0"/>
      <w:spacing w:after="0" w:line="240" w:lineRule="auto"/>
      <w:ind w:left="720" w:firstLine="0"/>
      <w:contextualSpacing/>
      <w:jc w:val="left"/>
    </w:pPr>
    <w:rPr>
      <w:rFonts w:ascii="Calibri" w:eastAsiaTheme="minorHAns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F15E7"/>
    <w:rPr>
      <w:rFonts w:ascii="Century Schoolbook" w:hAnsi="Century Schoolbook"/>
      <w:i/>
      <w:sz w:val="18"/>
      <w:szCs w:val="22"/>
    </w:rPr>
  </w:style>
  <w:style w:type="paragraph" w:customStyle="1" w:styleId="Default">
    <w:name w:val="Default"/>
    <w:rsid w:val="006E4889"/>
    <w:pPr>
      <w:autoSpaceDE w:val="0"/>
      <w:autoSpaceDN w:val="0"/>
      <w:adjustRightInd w:val="0"/>
    </w:pPr>
    <w:rPr>
      <w:rFonts w:ascii="Avenir Next Demi Bold" w:hAnsi="Avenir Next Demi Bold" w:cs="Avenir Next Demi Bold"/>
      <w:color w:val="000000"/>
      <w:sz w:val="24"/>
      <w:szCs w:val="24"/>
    </w:rPr>
  </w:style>
  <w:style w:type="character" w:customStyle="1" w:styleId="A3">
    <w:name w:val="A3"/>
    <w:uiPriority w:val="99"/>
    <w:rsid w:val="006E4889"/>
    <w:rPr>
      <w:rFonts w:cs="Avenir Next Demi Bold"/>
      <w:b/>
      <w:bCs/>
      <w:color w:val="000000"/>
      <w:sz w:val="64"/>
      <w:szCs w:val="64"/>
    </w:rPr>
  </w:style>
  <w:style w:type="paragraph" w:customStyle="1" w:styleId="Pa2">
    <w:name w:val="Pa2"/>
    <w:basedOn w:val="Default"/>
    <w:next w:val="Default"/>
    <w:uiPriority w:val="99"/>
    <w:rsid w:val="006E4889"/>
    <w:pPr>
      <w:spacing w:line="22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E4889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643BB"/>
    <w:rPr>
      <w:rFonts w:cs="Avenir Next"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6A4D9B"/>
    <w:pPr>
      <w:spacing w:line="221" w:lineRule="atLeast"/>
    </w:pPr>
    <w:rPr>
      <w:rFonts w:ascii="Avenir Next" w:hAnsi="Avenir Next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B01EAF"/>
    <w:pPr>
      <w:spacing w:line="281" w:lineRule="atLeast"/>
    </w:pPr>
    <w:rPr>
      <w:rFonts w:cs="Times New Roman"/>
      <w:color w:val="auto"/>
    </w:rPr>
  </w:style>
  <w:style w:type="paragraph" w:styleId="Subtitle">
    <w:name w:val="Subtitle"/>
    <w:basedOn w:val="Normal"/>
    <w:next w:val="Normal"/>
    <w:link w:val="SubtitleChar"/>
    <w:qFormat/>
    <w:rsid w:val="00EE6000"/>
    <w:pPr>
      <w:numPr>
        <w:ilvl w:val="1"/>
      </w:numPr>
      <w:spacing w:after="160"/>
      <w:ind w:firstLine="3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EE60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2035-EB4F-4347-A3D8-3084B804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188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</vt:lpstr>
    </vt:vector>
  </TitlesOfParts>
  <Company>Young &amp; Associates, Inc.</Company>
  <LinksUpToDate>false</LinksUpToDate>
  <CharactersWithSpaces>19328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</dc:title>
  <dc:subject/>
  <dc:creator>Sally Scudiere</dc:creator>
  <cp:keywords/>
  <dc:description/>
  <cp:lastModifiedBy>Bill Elliott</cp:lastModifiedBy>
  <cp:revision>3</cp:revision>
  <cp:lastPrinted>2015-02-19T11:15:00Z</cp:lastPrinted>
  <dcterms:created xsi:type="dcterms:W3CDTF">2017-02-02T15:24:00Z</dcterms:created>
  <dcterms:modified xsi:type="dcterms:W3CDTF">2017-02-02T15:24:00Z</dcterms:modified>
</cp:coreProperties>
</file>